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24-TA-2789: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20. jūnija noteikumos Nr. 325 "Eiropas Savienības Atveseļošanas un noturības mehānisma plāna 4.1.1.3.i. investīcijas "Atbalsts sekundāro ambulatoro pakalpojumu sniedzēju veselības aprūpes infrastruktūras stiprināšanai, lai nodrošinātu visaptverošu ilgtspējīgu integrētu veselības pakalpojumu, mazinātu infekciju slimību izplatību, epidemioloģisko prasību nodrošināšanā"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Saistības pret Eiropas Savienību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aicinām atsauces uz Eiropas Savienības tiesību aktiem veidot atbilstoši Ministru kabineta noteikumu Nr.108 "Normatīvo aktu projektu sagatavošanas noteikumi" 168. un 171. punktam. Piemēram, </w:t>
            </w:r>
            <w:r w:rsidR="00000000" w:rsidRPr="00000000" w:rsidDel="00000000">
              <w:rPr>
                <w:rtl w:val="0"/>
              </w:rPr>
              <w:t xml:space="preserve">Komisijas 2011. gada 20. decembra lēmums par Līguma par Eiropas Savienības darbību 106. panta 2. punkta piemērošanu valsts atbalstam attiecībā uz kompensāciju par sabiedriskajiem pakalpojumiem dažiem uzņēmumiem, kuriem uzticēts sniegt pakalpojumus ar vispārēju tautsaimniecisku nozīmi.</w:t>
            </w:r>
            <w:r w:rsidR="00000000" w:rsidRPr="00000000" w:rsidDel="00000000">
              <w:rPr>
                <w:rtl w:val="0"/>
              </w:rPr>
              <w:t xml:space="preserve">Līdzīgi lūdzam precizēt arī anotācijas 1.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Čistjakova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cik no anotācijas izriet, ka noteikumu projektā tiek ieviesti Eiropas Savienības tiesību akti - lēmums un regula - lūdzam aizpildīt anotācijas 5.4. sadaļas 1. tabulu, norādot konkrētas Eiropas Savienības tiesību akta normas un konkrētas noteikumu projekta normas, kurās šie Eiropas Savienības tiesību akti ieviesti. Vai arī, ja noteikumu projektā netiek ieviestas ne lēmuma, ne regulas normas, lūdzam anotācijas svītrot atsauces uz šiem Eiropas Savienības tiesību aktiem.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Čistjakova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Atbalstīt, ka Eiropas Savienības Atveseļošanas un noturības mehānisma 4.1.1.3.i. investīcijas  "Atbalsts sekundāro ambulatoro pakalpojumu sniedzēju veselības aprūpes infrastruktūras stiprināšanai, lai nodrošinātu visaptverošu ilgtspējīgu integrētu veselības pakalpojumu, mazinātu infekciju slimību izplatību, epidemioloģisko prasību nodrošināšanā" ietvaros ietaupītais finansējums tiek novirzīts 4.1.1.r. reformas “Uz cilvēku centrētas, visaptverošas, integrētas veselības aprūpes sistēmas ilgtspēja un noturība” projekta “Ieteikumu izstrāde integrētas veselības aprūpes attīstībai” integrētas veselības aprūpes modeļa “Slimnīca mājās” aprobēšanas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Skaidrības nolūkā aicinām norādīt konkrētu no Eiropas Savienības Atveseļošanas un noturības mehānisma 4.1.1.3.i. investīcijas  "Atbalsts sekundāro ambulatoro pakalpojumu sniedzēju veselības aprūpes infrastruktūras stiprināšanai, lai nodrošinātu visaptverošu ilgtspējīgu integrētu veselības pakalpojumu, mazinātu infekciju slimību izplatību, epidemioloģisko prasību nodrošināšanā" uz 4.1.1.r. reformas “Uz cilvēku centrētas, visaptverošas, integrētas veselības aprūpes sistēmas ilgtspēja un noturība” projektu “Ieteikumu izstrāde integrētas veselības aprūpes attīstībai" novirzītā finansējuma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Čistjakova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24-TA-2789</w:t>
    </w:r>
    <w:r>
      <w:br/>
    </w:r>
    <w:r w:rsidR="00000000" w:rsidRPr="00000000" w:rsidDel="00000000">
      <w:rPr>
        <w:rtl w:val="0"/>
      </w:rPr>
      <w:t xml:space="preserve">Izdrukāts 21.11.2024. 09.16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24-TA-2789</w:t>
    </w:r>
    <w:r>
      <w:br/>
    </w:r>
    <w:r w:rsidR="00000000" w:rsidRPr="00000000" w:rsidDel="00000000">
      <w:rPr>
        <w:rtl w:val="0"/>
      </w:rPr>
      <w:t xml:space="preserve">Izdrukāts 21.11.2024. 09.16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Atzinumi_24-TA-2789.docx</dc:title>
</cp:coreProperties>
</file>

<file path=docProps/custom.xml><?xml version="1.0" encoding="utf-8"?>
<Properties xmlns="http://schemas.openxmlformats.org/officeDocument/2006/custom-properties" xmlns:vt="http://schemas.openxmlformats.org/officeDocument/2006/docPropsVTypes"/>
</file>