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Regulators 2023.gada 19.oktobrī apstiprināja vadlīnijas par ierobežotu radiofrekvenču joslu un aktīvās infrastruktūras, kas balstās uz ierobežotu radiofrekvenču joslu, kopīgu izmantošanu, kurās ir atrunāta vienkāršota sadarbība attiecībā uz procedūru, kas saistīta ar aktīvās infrastruktūras kopīgu izmantošanu vietās, kur nav iespējams vai nav vēlams uzstādīt vairāk par vienu bāzes staciju, aicinām šajā daļā precizēt ziņojuma 2.2.1.nodaļu “Problemātika un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Kariņa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iekļaut regulējumu, ka gadījumos, kad publiskā elektronisko sakaru tīkla infrastruktūra ierīkota vai izbūvēta par publiskajiem līdzekļiem līdz konkrētai adresei, elektronisko sakaru komersantam, lai savu tīklu pieslēgtu subsidētajai infrastruktūrai, ir tiesības izmantot nepieciešamajā apjomā attiecīgo valsts un pašvaldību īpašumā esošo nekustamo īpašumu, un nekustamā īpašuma īpašniekam ir pienākums sadarboties ar elektronisko sakaru komersantu Ministru kabineta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minētā uzdevuma pilnvērtīgu izpratni, aicinām precizēt redakciju. Attiecīgi nepieciešams precizēt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Kariņa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iekļaut regulējumu, kas novērš, ka kopīpašumā esošā nekustamajā īpašumā jaunu elektronisko sakaru tīklu ierīkošanai vai izbūvei nepieciešama 100% kopīpašnieku piekrišana;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regulējums attiecas uz nekustamā īpašuma īpašnieku tiesībām, kā arī ņemot vērā Elektronisko sakaru likuma mērķi, aicinām to ieviest Dzīvokļa īpašuma likumā, kas nosaka dzīvokļa īpašnieka tiesības, pienākumus un atbildību, tai skaitā dzīvokļu īpašnieku kopības lēmumu pieņemšanu, vai citā atbilstošā šīs jomas normatīvajā aktā. Attiecīgi nepieciešams precizēt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Kariņa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iekļaut prasību, ka būvniecības ierosinātājs, būvējot (tajā skaitā pārbūvējot vai atjaunojot) daudzstāvu daudzdzīvokļu dzīvojamo namu, publisku ēku, rūpniecības objektu vai tuneli, nodrošina tehnisko risinājumu, lai iekštelpās (izņemot tehniskajās telpās, kurās ikdienā neuzturas cilvēki) būtu paredzēts radiopārklājums ar radiosignāla līmeni augstāku par -96 dBm.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regulējums attiecas uz būvniecības jomu, aicinām to ieviest būvniecību regulējošā normatīvajā aktā, tādējādi nodrošinot, ka plānotais regulējums tiek ietverts tādā normatīvajā aktā, kas precīzāk atbilst plānotā regulējuma mērķim (specifiskas būvniecības tehniskās prasības). Attiecīgi nepieciešams precizēt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Kariņa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22.12.2023.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22.12.2023.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