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citam dzīvniekam vai cilvēkam uzbrukušu suni, kamēr notiek administratīvā pārkāpuma process par </w:t>
            </w:r>
            <w:r w:rsidR="00000000" w:rsidRPr="00000000" w:rsidDel="00000000">
              <w:rPr>
                <w:rtl w:val="0"/>
              </w:rPr>
              <w:t xml:space="preserve">Dzīvnieku aizsardzības likuma</w:t>
            </w:r>
            <w:r w:rsidR="00000000" w:rsidRPr="00000000" w:rsidDel="00000000">
              <w:rPr>
                <w:rtl w:val="0"/>
              </w:rPr>
              <w:t xml:space="preserve"> </w:t>
            </w:r>
            <w:r w:rsidR="00000000" w:rsidRPr="00000000" w:rsidDel="00000000">
              <w:rPr>
                <w:rtl w:val="0"/>
              </w:rPr>
              <w:t xml:space="preserve">58. pantā</w:t>
            </w:r>
            <w:r w:rsidR="00000000" w:rsidRPr="00000000" w:rsidDel="00000000">
              <w:rPr>
                <w:rtl w:val="0"/>
              </w:rPr>
              <w:t xml:space="preserve"> minētu pārkāpumu vai kriminālprocess par noziedzīgo nodarījumu, kas noteikts </w:t>
            </w:r>
            <w:r w:rsidR="00000000" w:rsidRPr="00000000" w:rsidDel="00000000">
              <w:rPr>
                <w:rtl w:val="0"/>
              </w:rPr>
              <w:t xml:space="preserve">Krimināllikuma</w:t>
            </w:r>
            <w:r w:rsidR="00000000" w:rsidRPr="00000000" w:rsidDel="00000000">
              <w:rPr>
                <w:rtl w:val="0"/>
              </w:rPr>
              <w:t xml:space="preserve"> </w:t>
            </w:r>
            <w:r w:rsidR="00000000" w:rsidRPr="00000000" w:rsidDel="00000000">
              <w:rPr>
                <w:rtl w:val="0"/>
              </w:rPr>
              <w:t xml:space="preserve">230.</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nepiedalās izstādēs un pasākumos ar dzīvnieku piedalīšanos.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nodrošina iespēju procesa laikā veikt nepieciešamās ekspertīzes un citas procesuālās darbības, kā arī novērš situācijas, kad eitanāzija tiek izmantota, lai izvairītos no lietas objektīvas izmeklēšanas. Tas atbilst noteikumu projekta mērķim – stiprināt suņa īpašnieka vai turētāja atbildību, nevis sodīt dzīvnieku.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 projekta 3. punktu ar teikumu šādā redakcijā: "Šajā laikā suni aizliegts eitanazēt, izņemot gadījumus, kad eitanāzija nepieciešama veterinārmedicīnisku indikāciju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suns provocējis uzbrukumu </w:t>
            </w:r>
            <w:r w:rsidR="00000000" w:rsidRPr="00000000" w:rsidDel="00000000">
              <w:rPr>
                <w:rtl w:val="0"/>
              </w:rPr>
              <w:t xml:space="preserve">Dzīvnieku aizsardzības likuma</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panta otrajā daļā minētajos pārkāpumos vai noziedzīgā nodarījumā, tā īpašnieks vai turētājs ievēro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procesa laikā patversme nodrošina suņa aprūpi un uzraudzību, bet neiegūst īpašumtiesības uz dzīvnieku. Tādēļ nav pamatoti uz patversmi attiecināt pienākumus, kas noteikti suņa īpašniekam, piemēram, paklausības apmācību vai suņa īpašnieka vai turētāja apmācību iziešanu, vai citus ar īpašnieka atbildību saistītus pienākumus. Šāds precizējums novērstu interpretācijas riskus un nesamērīgu administratīvo slogu patversmēm, vienlaikus neietekmējot dzīvnieku labturību un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II nodaļu ar 4.¹ punktu šādā redakcijā: "Ja suns ir ievietots dzīvnieku patversmē, patversme pilda tikai suņa turētāja funkciju. Šādā gadījumā patversmei nav pienākuma pildīt šajos noteikumos suņa īpašniekam noteiktos pienākumus, izņemot pienākumus, kas saistīti ar suņa aprūpi, labturību un 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Suņa paklausības apmācību īsteno suņu uzvedības speciālists, kurš ir ieguvis zināšanas un prasmes šajā jomā vai kuram ir vismaz piecu gadu praktiskā pieredze darbā ar suņiem.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paredz pienākumu iziet paklausības apmācību, taču nenosaka pienākumu izvērtēt tās efektivitāti vai suņa radītā riska izmaiņas. Lai regulējums būtu vērsts uz uzbrukumu cēloņu novēršanu un sabiedrības drošības uzlabošanu, ir nepieciešams paredzēt objektīvu riska novērtējumu pirms un pēc apmācības, kā arī iespēju izstrādāt individuāli piemērotu uzvedības korekcijas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 projekta 12. punktu aiz vārdiem “darba ar suņiem” ar šādu teikumu: “, un kurš pirms apmācības uzsākšanas un pēc tās pabeigšanas veic suņa uzvedības un riska novērtējumu, kā arī, ja nepieciešams, izstrādā individuālu uzvedības korekcijas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Citam dzīvniekam vai cilvēkam uzbrukuša suņa īpašnieks vai turētājs kopā ar šo suni iziet suņa paklausības apmācību 12 mēnešu laikā pēc tam, kad stājies spēkā lēmums administratīvā pārkāpuma lietā saskaņā ar Dzīvnieku aizsardzības likuma 58. pantu vai nolēmums krimināllietā saskaņā ar Krimināllikuma 230.</w:t>
            </w:r>
            <w:r w:rsidR="00000000" w:rsidRPr="00000000" w:rsidDel="00000000">
              <w:rPr>
                <w:vertAlign w:val="superscript"/>
                <w:rtl w:val="0"/>
              </w:rPr>
              <w:t xml:space="preserve">1</w:t>
            </w:r>
            <w:r w:rsidR="00000000" w:rsidRPr="00000000" w:rsidDel="00000000">
              <w:rPr>
                <w:rtl w:val="0"/>
              </w:rPr>
              <w:t xml:space="preserve"> panta pirmo daļu. Ja suns ticis atsavināts, suņa paklausības apmācību nodrošina suņa jaunais īpašnieks vai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Ministru kabineta noteikumu projekta 11. punkta otrā teikuma atbilstību Dzīvnieku aizsardzības likuma 18.⁶ panta pirmajai daļai un precizēt tā piemērošanu, kā arī noteikt patversmes statusu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18.⁶ panta pirmā daļa nosaka, ka procesa laikā suni aizliegts atsavināt, līdz ar to dzīvnieka nodošana patversmē nenozīmē īpašumtiesību pāreju, bet patversme šādā gadījumā pilda tikai suņa turētāja funkciju. Tādēļ patversme nav pielīdzināma īpašniekam, un nav pamata veikt dzīvnieku reģistra datubāzē īpašumtiesību pārreģistrāciju uz patversmi, tostarp gadījumos, kad sistēmiski tiek veikta automātiska pārreģistrācija pēc atzīmes “Ievietots patversmē”.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11. punkta otrais teikums paredz pienākumu nodrošināt suņa paklausības apmācību jaunajam īpašniekam vai turētājam gadījumā, ja suns ir ticis atsavināts, kas rada pretrunu ar likumā noteikto atsavināšanas aizliegumu procesa laikā, jo šāds tiesisks stāvoklis šajā posmā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šādi dzīvnieki procesa laikā bieži tiek ievietoti patversmēs, kurām tiek uzlikti pienākumi, kas paredzēti īpašniekam, lai gan to faktiskā loma aprobežojas ar dzīvnieka turēšanu, aprūpi un drošības nodrošināšanu. Tas rada nesamērīgu administratīvo slogu un interpretācijas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regulējumu, nodrošinot tā saskaņotību ar Dzīvnieku aizsardzības likuma 18.⁶ pantu, skaidri nostiprinot patversmes kā suņa turētāja statusu un paredzot tikai objektīvi izpildāmus un praktiski īstenojamus pienākumus šādās situācijās, kā arī izvērtējot regulēta un sabiedrības drošībai atbilstoša šādu dzīvnieku nodošanas adopcijai procesa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29.06.2026.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29.06.2026.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