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kopā ar sadarbības partneriem (ja attiecināms) sagatavo projekta iesniegumu atbilstoši projektu iesniegumu atlases nolikumā noteiktajām prasībām un iesniedz to sadarbības iestādē, izmantojot Kohēzijas politikas fondu vadības informācijas sistēmu, tai skaitā projekta iesniedzējs un sadarbības partneri (ja attiecināms) paraksta interešu konflikta neesības apliecinājumu, ievērojot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lūdzam noteikumu projekta  20.punktā precizēt regulas atsauci, norādot atsauci uz Regulu 2024/2509. Saskaņā ar Regulas 2024/2509 279. pantu atsauces uz atcelto Regulu 2018/1046 uzskata par atsaucēm uz Regulu 2024/2509, un tās lasa saskaņā ar atbilstības tabulu Regulas 2024/2509 II pielikumā. Vienlaikus lūdzam atbilstoši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Sadarbības iestāde, ja tai ir pieejami valsts budžeta līdzekļi, pēc plānotā avansa apmēra un tā pamatojuma izvērtēšanas, pamatojoties uz šo noteikumu </w:t>
            </w:r>
            <w:r w:rsidR="00000000" w:rsidRPr="00000000" w:rsidDel="00000000">
              <w:rPr>
                <w:rtl w:val="0"/>
              </w:rPr>
              <w:t xml:space="preserve">13.1.1.</w:t>
            </w:r>
            <w:r w:rsidR="00000000" w:rsidRPr="00000000" w:rsidDel="00000000">
              <w:rPr>
                <w:rtl w:val="0"/>
              </w:rPr>
              <w:t xml:space="preserve"> , </w:t>
            </w:r>
            <w:r w:rsidR="00000000" w:rsidRPr="00000000" w:rsidDel="00000000">
              <w:rPr>
                <w:rtl w:val="0"/>
              </w:rPr>
              <w:t xml:space="preserve">13.1.4.</w:t>
            </w:r>
            <w:r w:rsidR="00000000" w:rsidRPr="00000000" w:rsidDel="00000000">
              <w:rPr>
                <w:rtl w:val="0"/>
              </w:rPr>
              <w:t xml:space="preserve"> ​​​​​​​ un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minētā finansējuma saņēmēja rakstisku avansa pieprasījumu, var piešķirt šo noteikumu </w:t>
            </w:r>
            <w:r w:rsidR="00000000" w:rsidRPr="00000000" w:rsidDel="00000000">
              <w:rPr>
                <w:rtl w:val="0"/>
              </w:rPr>
              <w:t xml:space="preserve">13.1.1.</w:t>
            </w:r>
            <w:r w:rsidR="00000000" w:rsidRPr="00000000" w:rsidDel="00000000">
              <w:rPr>
                <w:rtl w:val="0"/>
              </w:rPr>
              <w:t xml:space="preserve">, </w:t>
            </w:r>
            <w:r w:rsidR="00000000" w:rsidRPr="00000000" w:rsidDel="00000000">
              <w:rPr>
                <w:rtl w:val="0"/>
              </w:rPr>
              <w:t xml:space="preserve">13.1.4.</w:t>
            </w:r>
            <w:r w:rsidR="00000000" w:rsidRPr="00000000" w:rsidDel="00000000">
              <w:rPr>
                <w:rtl w:val="0"/>
              </w:rPr>
              <w:t xml:space="preserve"> ​​​​​​​ un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minētam finansējuma saņēmējam avansu pēc tam, kad ir noslēgts līgums par projekta īstenošanu. Šo noteikumu </w:t>
            </w:r>
            <w:r w:rsidR="00000000" w:rsidRPr="00000000" w:rsidDel="00000000">
              <w:rPr>
                <w:rtl w:val="0"/>
              </w:rPr>
              <w:t xml:space="preserve">13.1.1.</w:t>
            </w:r>
            <w:r w:rsidR="00000000" w:rsidRPr="00000000" w:rsidDel="00000000">
              <w:rPr>
                <w:rtl w:val="0"/>
              </w:rPr>
              <w:t xml:space="preserve">​​​​​​​, </w:t>
            </w:r>
            <w:r w:rsidR="00000000" w:rsidRPr="00000000" w:rsidDel="00000000">
              <w:rPr>
                <w:rtl w:val="0"/>
              </w:rPr>
              <w:t xml:space="preserve">13.1.4.</w:t>
            </w:r>
            <w:r w:rsidR="00000000" w:rsidRPr="00000000" w:rsidDel="00000000">
              <w:rPr>
                <w:rtl w:val="0"/>
              </w:rPr>
              <w:t xml:space="preserve"> ​​​​​​​ un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minētais finansējuma saņēmējs avansa pieprasījumu sagatavo un sadarbības iestāde to apstiprina, ņemot vērā nosacījumu, ka plānotā avansa apmērs atbilst spējai to izlietot sešu mēnešu laikā saimnieciskā gada ietvaros. Šo noteikumu </w:t>
            </w:r>
            <w:r w:rsidR="00000000" w:rsidRPr="00000000" w:rsidDel="00000000">
              <w:rPr>
                <w:rtl w:val="0"/>
              </w:rPr>
              <w:t xml:space="preserve">13.1.1.</w:t>
            </w:r>
            <w:r w:rsidR="00000000" w:rsidRPr="00000000" w:rsidDel="00000000">
              <w:rPr>
                <w:rtl w:val="0"/>
              </w:rPr>
              <w:t xml:space="preserve">, </w:t>
            </w:r>
            <w:r w:rsidR="00000000" w:rsidRPr="00000000" w:rsidDel="00000000">
              <w:rPr>
                <w:rtl w:val="0"/>
              </w:rPr>
              <w:t xml:space="preserve">13.1.4.</w:t>
            </w:r>
            <w:r w:rsidR="00000000" w:rsidRPr="00000000" w:rsidDel="00000000">
              <w:rPr>
                <w:rtl w:val="0"/>
              </w:rPr>
              <w:t xml:space="preserve"> ​​​​​​​ un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minētajam finansējuma saņēmējam avansu var piešķirt līdz 30 procentiem no projektam piešķirtā Eiropas Reģionālās attīstības fonda finansējuma un valsts budžeta līdzfinansējuma kopsummas, ievērojot, ka avansu var izmaksāt vairākos maksājumos un avansa un starpposma maksājumu kopsumma nepārsniedz 100 procentus no projektam piešķirtā Eiropas Reģionālās attīstības fonda un valsts budžeta līdzfinansējuma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25. aprīļa noteikumu Nr. 205 "Valsts budžeta līdzekļu plānošanas kārtība Eiropas Savienības fondu projektu īstenošanai un maksājumu veikšanai 2021.–2027. gada plānošanas periodā" (turpmāk - MK noteikumi Nr.205) 17.punktam, ja</w:t>
            </w:r>
            <w:r w:rsidR="00000000" w:rsidRPr="00000000" w:rsidDel="00000000">
              <w:rPr>
                <w:b w:val="1"/>
                <w:rtl w:val="0"/>
              </w:rPr>
              <w:t xml:space="preserve"> </w:t>
            </w:r>
            <w:r w:rsidR="00000000" w:rsidRPr="00000000" w:rsidDel="00000000">
              <w:rPr>
                <w:u w:val="single"/>
                <w:rtl w:val="0"/>
              </w:rPr>
              <w:t xml:space="preserve">finansējuma saņēmējs ir no valsts budžeta daļēji finansēta atvasināta publiska persona (izņemot plānošanas reģionus), budžeta nefinansēta iestāde, valsts kapitālsabiedrība, nodibinājums vai biedrība, kura projekta ietvaros avansa un starpposma maksājumu kopsummu izmanto tai deleģētā valsts pārvaldes uzdevuma īstenošanai,</w:t>
            </w:r>
            <w:r w:rsidR="00000000" w:rsidRPr="00000000" w:rsidDel="00000000">
              <w:rPr>
                <w:rtl w:val="0"/>
              </w:rPr>
              <w:t xml:space="preserve"> tad avansa un starpposma maksājuma kopsumma var būt 100 % no projektam piešķirtā Eiropas Savienības fonda finansējuma un, ja tas ir paredzēts projektā, valsts budžeta līdzfinansējuma kopsummas, ja šāda avansa un starpposma maksājumu kopsumma ir paredzēta normatīvajā aktā par specifiskā atbalsta mērķa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gadījumā, ja finansējuma saņēmējs atbilst MK noteikumi Nr.205 noteikumu 17.punktā noteiktajam finansējuma saņēmēju juridiskajam statusam un projekta ietvaros avansa un starpposma maksājumu kopsummu izmanto tam deleģētā valsts pārvaldes uzdevuma īstenošanai, un Ministru kabineta noteikumos par specifiskā atbalsta mērķa īstenošanu tiek noteikts minētajā punktā noteiktais avansa un starpposma maksājuma kopsummas apjoms, tad anotācijā ir īpaši jāpamato šāda avansa un starpposma maksājuma kopsummas apmēra nepieciešamība (skat. Ministru kabineta 2023. gada 25. aprīļa sēdes protokollēmumu (prot. Nr. 22 25. § 3. punkts)), tādējādi lūdzam papildināt noteikumu projekta anotāciju ar attiecīgo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uz 33. punktā minētajiem finansējuma saņēmējiem būtu attiecināms nosacījums par avansa izlietošanu saimnieciskā gada ietvaros, ņemot vērā Vadlīniju "Vadlīnijas Ministru kabineta noteikumu par specifiskā atbalsta mērķa īstenošanu izstrādei Eiropas Savienības fondu 2021.—2027. gada plānošanas periodā" 39. punktā noteikto, ka, ja finansējuma saņēmējs ir pašvaldība, MK noteikumos ietver nosacījumu, ka FS avansa pieprasījumu sagatavo, un SI avansa pieprasījumu apstiprina, ņemot vērā nosacījumu, ka plānotā avansa apmērs, tā pamatojums atbilst spējai to izlietot saimnieciskā gada ietvaros (piemēram, sešu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ņemot vērā projekta iesniedzēju juridisko statusu, kam plānots piešķirt avansus, lūdzam papildināt 33.punkta pirmo teikumu aiz vārdiem "ir noslēgts līgums" ar vārdiem "vai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24-TA-36</w:t>
    </w:r>
    <w:r>
      <w:br/>
    </w:r>
    <w:r w:rsidR="00000000" w:rsidRPr="00000000" w:rsidDel="00000000">
      <w:rPr>
        <w:rtl w:val="0"/>
      </w:rPr>
      <w:t xml:space="preserve">Izdrukāts 04.11.2024. 22.40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24-TA-36</w:t>
    </w:r>
    <w:r>
      <w:br/>
    </w:r>
    <w:r w:rsidR="00000000" w:rsidRPr="00000000" w:rsidDel="00000000">
      <w:rPr>
        <w:rtl w:val="0"/>
      </w:rPr>
      <w:t xml:space="preserve">Izdrukāts 04.11.2024. 22.40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Atzinumi_24-TA-36.docx</dc:title>
</cp:coreProperties>
</file>

<file path=docProps/custom.xml><?xml version="1.0" encoding="utf-8"?>
<Properties xmlns="http://schemas.openxmlformats.org/officeDocument/2006/custom-properties" xmlns:vt="http://schemas.openxmlformats.org/officeDocument/2006/docPropsVTypes"/>
</file>