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24-TA-1353: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Likumprojekts "Grozījumi "Tūrisma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7.0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"(3) Pašvaldība piecu darba dienu laikā rakstveidā informē Ekonomikas ministriju par šī panta otrajā daļā noteikto darbību izpildi. Ekonomikas ministrija saņemto informāciju nodod Veselības ministrijai, Viedās specializācijas un reģionālās attīstības ministrijai un Klimata un enerģētikas ministrijai, kā arī Latvijas Investīciju un attīstības aģentūrai;"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likumprojekta 3. pantā iekļautā Tūrisma likuma 6.</w:t>
            </w:r>
            <w:r w:rsidR="00000000" w:rsidRPr="00000000" w:rsidDel="00000000">
              <w:rPr>
                <w:vertAlign w:val="superscript"/>
                <w:rtl w:val="0"/>
              </w:rPr>
              <w:t xml:space="preserve">1</w:t>
            </w:r>
            <w:r w:rsidR="00000000" w:rsidRPr="00000000" w:rsidDel="00000000">
              <w:rPr>
                <w:rtl w:val="0"/>
              </w:rPr>
              <w:t xml:space="preserve"> panta trešo daļu, paredzot, ka Ekonomikas ministrija attiecīgo informāciju nodod cita starp Viedās administrācijas un reģionālās attīstības ministrijai, nevis Viedās specializācijas un reģionālās attīstības ministrijai, kā tas norādīts likumprojektā.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Ilona Lulberga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24-TA-1353</w:t>
    </w:r>
    <w:r>
      <w:br/>
    </w:r>
    <w:r w:rsidR="00000000" w:rsidRPr="00000000" w:rsidDel="00000000">
      <w:rPr>
        <w:rtl w:val="0"/>
      </w:rPr>
      <w:t xml:space="preserve">Izdrukāts 21.07.2025. 14.20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24-TA-1353</w:t>
    </w:r>
    <w:r>
      <w:br/>
    </w:r>
    <w:r w:rsidR="00000000" w:rsidRPr="00000000" w:rsidDel="00000000">
      <w:rPr>
        <w:rtl w:val="0"/>
      </w:rPr>
      <w:t xml:space="preserve">Izdrukāts 21.07.2025. 14.20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Atzinumi_24-TA-1353.docx</dc:title>
</cp:coreProperties>
</file>

<file path=docProps/custom.xml><?xml version="1.0" encoding="utf-8"?>
<Properties xmlns="http://schemas.openxmlformats.org/officeDocument/2006/custom-properties" xmlns:vt="http://schemas.openxmlformats.org/officeDocument/2006/docPropsVTypes"/>
</file>