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anotācijas sadaļā - Risinājuma apraksts; 6) projekta vadība un tā īstenošanas nodrošināšana ņemot vērā Valsts kancelejas tīmekļvietnē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Prognozētā mēnešalgu skala turpmākajiem gadiem (https://www.mk.gov.lv/lv/dati-par-darba-samaksu-un-nodarbinatajiem-valsts-parvalde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(8)Kritēriji amatu klasificēšanai projektos (https://www.mk.gov.lv/lv/amatu-klasifikacijas-process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pievienot detalizēto aprēķinu vienlaikus novēršot turpmāk minētās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vadības personāls: personāla speciālists – 0,3 likme x ceturksnī (17. amatu saime, III līmenis, 9. mēnešalgu grupa). papildu vēršam uzmanību, ka nav saprotama norādītās amatu saimes izvēle.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īstenošanas personāls: vecākais eksperts –  3 amata likmes (39.1. amatu saime, IV līmenis, 11.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partnera īstenošanas personāls: mācībspēks – 0,9 likme, galvenais metodiķis – 0,3 likme (39.1. amatu saime, II līmenis, 10. mēnešalgu grupa), metodiķis – 0,5 likme (39.1. amatu saime, II līmenis, 9. mēnešalgu grupa), finansists – 0,2 likme (15.1. amatu saime …līmenis, 8.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amatu klasifikācija pirms attiecīgo amata vietu izveides, ir saskaņojama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tiesību aktu tiek paredzēts finansējuma saņēmējam iesniegt projekta iesniegumu un tā sagatavošanas izmaksas nav attiecināmās izmaksas, lūdzu veikt administratīvo izmaksu vērtējumu iesnieguma sagatavošanai un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27.02.2025.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27.02.2025.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Atzinumi_24-TA-2142.docx</dc:title>
</cp:coreProperties>
</file>

<file path=docProps/custom.xml><?xml version="1.0" encoding="utf-8"?>
<Properties xmlns="http://schemas.openxmlformats.org/officeDocument/2006/custom-properties" xmlns:vt="http://schemas.openxmlformats.org/officeDocument/2006/docPropsVTypes"/>
</file>