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Farmācijas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1.2.sadaļu "Pamatojums", jo likumprojekts neparedz, ka Farmācijas likuma 42.</w:t>
            </w:r>
            <w:r w:rsidR="00000000" w:rsidRPr="00000000" w:rsidDel="00000000">
              <w:rPr>
                <w:vertAlign w:val="superscript"/>
                <w:rtl w:val="0"/>
              </w:rPr>
              <w:t xml:space="preserve">1</w:t>
            </w:r>
            <w:r w:rsidR="00000000" w:rsidRPr="00000000" w:rsidDel="00000000">
              <w:rPr>
                <w:rtl w:val="0"/>
              </w:rPr>
              <w:t xml:space="preserve"> panta otrajā daļā ir iekļauts deleģējums Ministru kabinetam noteikumu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sadaļu "Risinājuma apraksts", jo likumprojekta 6. pantā, nevis likumprojekta 5.pantā, paredzēts papildināt Farmācijas likumu 41. pantu ar trešo, ceturto un piekto daļu, ietverot principus, kas jāievēro vispārējā jeb atvērta tipa aptiekai, iepērkot un izplatot zāles. Secīgi arī likumprojekta 7. pants papildina Farmācijas likumu ar jaunu 42.1 pantu, nevis likumprojekta 6. pants, 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05.12.2025.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05.12.2025.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Atzinumi_25-TA-588.docx</dc:title>
</cp:coreProperties>
</file>

<file path=docProps/custom.xml><?xml version="1.0" encoding="utf-8"?>
<Properties xmlns="http://schemas.openxmlformats.org/officeDocument/2006/custom-properties" xmlns:vt="http://schemas.openxmlformats.org/officeDocument/2006/docPropsVTypes"/>
</file>