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(1) Piesārņotas un potenciāli piesārņotas vietas attiecīgajā administratīvajā teritorijā apzina pašvaldība sadarbībā ar Valsts vides dienestu, ņemot vērā visu par attiecīgo administratīvo teritoriju pieejamo informāciju, tostarp jebkuras fiziskās vai juridiskās personas sniegto informāciju atbilstoši 35.</w:t>
            </w:r>
            <w:r w:rsidR="00000000" w:rsidRPr="00000000" w:rsidDel="00000000">
              <w:rPr>
                <w:vertAlign w:val="superscript"/>
                <w:rtl w:val="0"/>
              </w:rPr>
              <w:t xml:space="preserve">4</w:t>
            </w:r>
            <w:r w:rsidR="00000000" w:rsidRPr="00000000" w:rsidDel="00000000">
              <w:rPr>
                <w:rtl w:val="0"/>
              </w:rPr>
              <w:t xml:space="preserve"> panta pirmajā daļā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likuma “Par piesārņojumu“ 34. pantā ir noteikts,  ka piesārņotas un potenciāli piesārņotas vietas reģistrē Valsts vides dienests Ministru kabineta noteiktajā kārtībā, savukārt saskaņā ar MK noteikumu Nr. 483 “Piesārņoto un potenciāli piesārņoto vietu apzināšanas un reģistrācijas kārtība” 5. punktu piesārņoto un potenciāli piesārņoto vietu reģistrāciju savā teritorijā veic Valsts vides dienesta (turpmāk – VVD) reģionālā vides pārvalde, kura apkopo datus par to atrašanās vietu, tipu un bīstamību, lūdzu noteikt, ka piesārņoto un potenciāli piesārņoto vietu apzināšana ir VVD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25.05.2026. 11.23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25.05.2026. 11.23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