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25-TA-409: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Elektroenerģijas tirgus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rezultāti)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"31.</w:t>
            </w:r>
            <w:r w:rsidR="00000000" w:rsidRPr="00000000" w:rsidDel="00000000">
              <w:rPr>
                <w:b w:val="1"/>
                <w:vertAlign w:val="superscript"/>
                <w:rtl w:val="0"/>
              </w:rPr>
              <w:t xml:space="preserve">8</w:t>
            </w:r>
            <w:r w:rsidR="00000000" w:rsidRPr="00000000" w:rsidDel="00000000">
              <w:rPr>
                <w:b w:val="1"/>
                <w:rtl w:val="0"/>
              </w:rPr>
              <w:t xml:space="preserve"> pants. Elektroenerģijas ražošanas iekārtu un elektroenerģijas uzkrātuvju nojaukšana</w:t>
            </w:r>
            <w:r w:rsidR="00000000" w:rsidRPr="00000000" w:rsidDel="00000000">
              <w:rPr>
                <w:rtl w:val="0"/>
              </w:rPr>
              <w:t xml:space="preserve">(1) Elektroenerģijas ražotājam vai elektroenerģijas uzkrātuves operatoram pēc  elektroenerģijas ražošanas iekārtas vai elektroenerģijas uzkrātuves ekspluatācijas pārtraukšanas ir pienākums informēt par to attiecīgo sistēmas operatoru, nojaukt elektroenerģijas ražošanas iekārtu vai elektroenerģijas uzkrātuvi.</w:t>
            </w:r>
            <w:r w:rsidR="00000000" w:rsidRPr="00000000" w:rsidDel="00000000">
              <w:rPr>
                <w:rtl w:val="0"/>
              </w:rPr>
              <w:t xml:space="preserve">(2) Fosilās izcelsmes elektroenerģijas ražošanas iekārtu nojaukšanas process tiek īstenots atbilstoši tiesību aktiem par inženierbūvju nojaukšanu.</w:t>
            </w:r>
            <w:r w:rsidR="00000000" w:rsidRPr="00000000" w:rsidDel="00000000">
              <w:rPr>
                <w:rtl w:val="0"/>
              </w:rPr>
              <w:t xml:space="preserve">(3) Pēc pārrobežu iekārtas ekspluatācijas pārtraukšanas elektroenerģijas ražotāja vai elektroenerģijas uzkrātuves operatora rīcību attiecībā uz pārrobežu iekārtas daļu, kas atrodas citas Eiropas Savienības dalībvalsts teritorijā, noteic attiecīgās dalībvalsts normatīvie akti.</w:t>
            </w:r>
            <w:r w:rsidR="00000000" w:rsidRPr="00000000" w:rsidDel="00000000">
              <w:rPr>
                <w:rtl w:val="0"/>
              </w:rPr>
              <w:t xml:space="preserve">(4) Nojaukšanas procesa izpildi uzrauga attiecīgās administratīvās teritorijas būvvalde.</w:t>
            </w:r>
            <w:r w:rsidR="00000000" w:rsidRPr="00000000" w:rsidDel="00000000">
              <w:rPr>
                <w:rtl w:val="0"/>
              </w:rPr>
              <w:t xml:space="preserve">(5) Prasības atjaunīgās elektroenerģijas ražošanas iekārtu vai elektroenerģijas uzkrātuvju nojaukšanai, kārtību, kādā notiek prasību izpilde un finansēšana, kā arī soda naudas apmēru par nojaukšanas neīstenošanu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nevar piekrist panta otrās un ceturtās daļas regulējumam un lūdz tās izslēgt no likumprojekta. Vēršam Jūsu uzmanību, ka būvniecības process saskaņā ar Būvniecības likuma regulējumu piemērojams būvēm - ēkām un inženierbūvēm un tas netiek attiecināts uz iekārtu uzstādīšanu vai iekārtu nojaukšanu.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process ir strikti reglamentēts. Būvniecības gadījumā ir noteiktas stingras prasības dokumentiem, ar kuriem sākumā tiek projektēta paredzēta darbība (būvprojektēšana) (piemēram jaunās būves būvniecība, būves ierīkošana, pārbūve, atjaunošana, nojaukšana) un vēlāk tiek fiksēts arī darbu izpildes process (būvdarbu dokumentācija). Minētos darbus ir tiesīgi veikt tikai atbilstošās sfēras būvspeciālisti.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procesu tiešā veidā nevar piemērot iekārtu nojaukšanai, it īpaši, ņemot vērā, ka iekārtu uzstādīšanai būvniecības process netiek piemērots. Nav arī skaidrs kāda loma tiek piešķirta būvvaldei, proti, kas ietilps būvvaldes atbildības tvērumā, kādus aspektus pārbaudīs būvvalde.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piedāvātās panta (2) un (4) daļas redakcijas. Ja minētā iekārta ir daļa no būves un nojaukšana skars būvi (piemēram, iekārtas nojaukšanai nepieciešams veikt būvdarbus ēkā vai inženierbūvē), tad šīs process jau šobrīd tiek regulēts normatīvajos aktos būvniecības jomā un papildus dublējošais regulējums ETL likumā nav nepieciešams.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iekārtu demontāžu un utilizāciju (nevis nojaukšanu) prasības Ministru Kabinetam būtu lietderīgi noteikt atbilstoši šim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vai ekspluatācijas pārtraukšana ir korekts termins, jo pārtraukšana var būt arī īslaicīga, kas neprasa būves vai iekārtas demontāžu.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Elektroenerģijas ražotājam vai elektroenerģijas uzkrātuves operatoram pēc  elektroenerģijas ražošanas iekārtas vai elektroenerģijas uzkrātuves ekspluatācijas pārtraukšanas ir pienākums informēt par to attiecīgo sistēmas operatoru, </w:t>
            </w:r>
            <w:r w:rsidR="00000000" w:rsidRPr="00000000" w:rsidDel="00000000">
              <w:rPr>
                <w:u w:val="single"/>
                <w:rtl w:val="0"/>
              </w:rPr>
              <w:t xml:space="preserve">nojaukt attiecīgās būves būvniecības jomu reglamentējošo normatīvo aktu noteiktajā kārtībā, kā arī demontēt un utilizēt iekārtas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pārrobežu iekārtas ekspluatācijas pārtraukšanas elektroenerģijas ražotāja vai elektroenerģijas uzkrātuves operatora rīcību attiecībā uz pārrobežu iekārtas daļu, kas atrodas citas Eiropas Savienības dalībvalsts teritorijā, noteic attiecīgās dalībvalsts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Prasības atjaunīgās elektroenerģijas ražošanas iekārtu vai elektroenerģijas uzkrātuvju </w:t>
            </w:r>
            <w:r w:rsidR="00000000" w:rsidRPr="00000000" w:rsidDel="00000000">
              <w:rPr>
                <w:u w:val="single"/>
                <w:rtl w:val="0"/>
              </w:rPr>
              <w:t xml:space="preserve">iekārtu</w:t>
            </w:r>
            <w:r w:rsidR="00000000" w:rsidRPr="00000000" w:rsidDel="00000000">
              <w:rPr>
                <w:rtl w:val="0"/>
              </w:rPr>
              <w:t xml:space="preserve"> </w:t>
            </w:r>
            <w:r w:rsidR="00000000" w:rsidRPr="00000000" w:rsidDel="00000000">
              <w:rPr>
                <w:u w:val="single"/>
                <w:rtl w:val="0"/>
              </w:rPr>
              <w:t xml:space="preserve">demontāžai un utilizācijai</w:t>
            </w:r>
            <w:r w:rsidR="00000000" w:rsidRPr="00000000" w:rsidDel="00000000">
              <w:rPr>
                <w:rtl w:val="0"/>
              </w:rPr>
              <w:t xml:space="preserve">, kārtību, kādā notiek prasību izpilde un finansēšana, kā arī soda naudas apmēru par </w:t>
            </w:r>
            <w:r w:rsidR="00000000" w:rsidRPr="00000000" w:rsidDel="00000000">
              <w:rPr>
                <w:u w:val="single"/>
                <w:rtl w:val="0"/>
              </w:rPr>
              <w:t xml:space="preserve">demontāžas un utilizācijas</w:t>
            </w:r>
            <w:r w:rsidR="00000000" w:rsidRPr="00000000" w:rsidDel="00000000">
              <w:rPr>
                <w:rtl w:val="0"/>
              </w:rPr>
              <w:t xml:space="preserve"> neīstenošanu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likumprojektā norādītājiem deleģējumiem Ministru Kabinetam izdot noteikumus, lūdzam anotācijā aprakstīt šo noteikumu plānoto saturu.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25-TA-409</w:t>
    </w:r>
    <w:r>
      <w:br/>
    </w:r>
    <w:r w:rsidR="00000000" w:rsidRPr="00000000" w:rsidDel="00000000">
      <w:rPr>
        <w:rtl w:val="0"/>
      </w:rPr>
      <w:t xml:space="preserve">Izdrukāts 29.09.2025. 17.08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25-TA-409</w:t>
    </w:r>
    <w:r>
      <w:br/>
    </w:r>
    <w:r w:rsidR="00000000" w:rsidRPr="00000000" w:rsidDel="00000000">
      <w:rPr>
        <w:rtl w:val="0"/>
      </w:rPr>
      <w:t xml:space="preserve">Izdrukāts 29.09.2025. 17.08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Atzinumi_25-TA-409.docx</dc:title>
</cp:coreProperties>
</file>

<file path=docProps/custom.xml><?xml version="1.0" encoding="utf-8"?>
<Properties xmlns="http://schemas.openxmlformats.org/officeDocument/2006/custom-properties" xmlns:vt="http://schemas.openxmlformats.org/officeDocument/2006/docPropsVTypes"/>
</file>