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ir norādīta jauna informācija, ka Iekšlietu ministrijai (Pilsonības un migrācijas lietu pārvaldei) nepieciešams papildu finansējums, bet kā jau Finanšu ministrija ir norādījusi iepriekšējos atzinumos, tad nav atbalstāma tādu normatīvo aktu virzība, kuru īstenošanai nav atrisināts jautājums par finansējumu. Attiecīgi lūdzam anotācijas 3.sadaļas punktā “Cita informācija” arī attiecībā uz Iekšlietu ministriju norādīt, kādu līdzekļu ietvaros un kurā gadā tiks nodrošināts nepieciešamais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18.06.2024. lēmumam (prot. Nr. 25 74.§) likumprojekta "Par valsts budžetu 2025. gadam un budžeta ietvaru 2025., 2026. un 2027. gadam" sagatavošanā kā vienīgais vidēja termiņa budžeta prioritārais attīstības virziens tika noteikta valsts drošība, bet citu vidēja termiņa budžeta prioritāro attīstības virzienu noteikšana iespējama, pārskatot ministriju un citu centrālo valsts iestāžu esošo budžeta programmu/apakšprogrammu izdevumus vai rodot papildu finansējuma avotus, attiecīgi sagatavojot fiskāli neitrālus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27.08.2024. sēdē (prot. Nr.33 52.§) izskatītajā informatīvajā ziņojumā “Par valsts budžeta likumprojektā iekļaujamo prioritāro pasākumu pamatprincipiem un uzdevumiem likumprojekta "Par valsts budžetu 2025. gadam un budžeta ietvaru 2025., 2026. un 2027. gadam" sagatavošanai” tika noteikts, ka finansējums tiek piešķirts tieši ar valsts drošību saistītiem pasākumiem, kā arī noteikti uzdevumi par izdevumu samazināšanu un nosacījums amata vietu skaitu nepalielināšanai, ko lūdzam ņemt vērā precizējumu veikšanā, tai skaitā attiecībā uz Ministru kabineta protokollēmuma projekta 3.punktā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31.08.2024. 00.53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31.08.2024. 00.53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