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b)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paplašināt saņēmēju loku bezemisiju transportlīdzekļu pasākumiem, vienlaikus nodrošinot demarkāciju starp EM esošo atbalsta programmu un Klimata un enerģētikas ministrijas (KEM) sagatavoto atbalsta programmu ("Modernizācijas fonda finansēto projektu atklāta konkursa "Energoefektivitātes paaugstināšana transporta sektorā – atbalsts elektromobiļu un to uzlādes infrastruktūras ieviešanai" nolikums"; 23-TA-1486, projekts). Demarkācija tiek nodrošināta laikā, jo KEM atbalsta programma ir izstrādes stadijā un līdz atbalsta programmas darbības uzsākšanai demarkācijas risku nav. EM atbalsta programma elektroauto iegādes atbalstam darbosies līdz brīdim, kad pilnībā tiks rezervēts pieejamais finansējums, kas indikatīvi notiks pirms KEM atbalsta programmas uzsākšanas. Ja līdz KEM atbalsta programmas apstiprināšanai finansējums EM atbalsta programmā nebūs pilnībā rezervēts, tad demarkācija tiks nodrošināta projektu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03.01.2024.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03.01.2024.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