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anotācijā sniegtā skaidrojuma izriet, ka finansējuma saņēmējs veic deleģēto funkciju un attiecīgi neveic saimniecisko darbību, tad attiecībā uz to vairs tālāk nav nepieciešams veikt vērtējumu atbilstoši komercdarbības atbalsta pazīmēm. Attiecīgi lūdzam precizēt anotācijā sniegto skaidrojumu, papildinot to ar secinājumu par finansējuma saņēmēju, skaidri norādot, ka tas šī pasākuma ietvaros darbojas valsts deleģēto pārvaldes uzdevumu ietvaros, un tādējādi neveic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anotācijā jau daļēji iekļauto vērtējumu komercdarbības atbalsta kontekstā par sadarbības partneriem lūdzam to papildināt un precizēt, izdalot atsevišķi attiecībā uz katru no sadarbības partneru kategorijām. Piemēram, attiecībā uz valsts un pašvaldību (iespējams, arī augstskolu) dibinātām vispārējās un profesionālās izglītības iestādēm (tai skaitā koledžām), aicinām papildināt anotāciju ar skaidrojumu, vai un kurā normatīvajā aktā ir ietverta funkcija to nodrošināt, tādējādi pamatojot, ka tās neveic saimniecisko darbību. Un attiecībā uz sadarbības partneriem, kas ir citas juridiskas personas, lūdzam papildināt anotāciju ar izvērtējumu komercdarbības atbalsta kontroles kontekstā (Lūdzam skatīt Komisijas paziņojuma par Līguma par Eiropas Savienības darbību 107. panta 1. punktā minēto valsts atbalsta jēdzienu (2016/C 262/01) (turpmāk – EK paziņojums) 28. un 29. punktus. Skaidrojam, ka valsts izglītības sistēmas ietvaros nodrošinātā valsts izglītība, ko finansē un uzrauga valsts, var tikt uzskatīta par nesaimniecisko darbību. Atbilstoši EK paziņojuma 29.punktam gadījumos, ja ieņēmumi no izglītojamajiem (vai to vecākiem) nesasniedz 50% izdevumiem jeb vispārējās izglītības pakalpojumu pārsvarā finansē valsts, tā nav saimnieciska darbība. Gadījumā, ja tiktu konstatēts, ka izglītības iestādes gūtie ieņēmumi no maksas izglītības pakalpojumu un citu izglītības pakalpojumu sniegšanas pārsniedz 50% robežvērtību no kopējiem sniegtajiem izglītības pakalpojumiem, tālāk jāveic izvērtējumu par vienlaicīgu Komercdarbības atbalsta kontroles likuma 5.pantā minēto komercdarbības atbalsta pazīmju esamību. Pieļaujam, ka saimnieciska izglītības pakalpojuma gadījumā varētu neizpildīties komercdarbības atbalsta pazīme par ietekmi uz tirdzniecību un konkurenci Eiropas Savienības iekšējā tirgū.) Ja kāds no sadarbības partneriem varētu būt tāds, kas tiek vērtēts atbilstoši saimnieciskās darbības kritērijam un/vai komercdarbības pazīmēm, aicinām papildināt noteikumu projektu ar to. Lūdzam arī papildināt noteikumu projektu ar nosacījumu par nelikumīga komercdarbības atbalsta atgūšanu.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par netiešajām izmaksām norādīts, ka netiešās izmaksas </w:t>
            </w:r>
            <w:r w:rsidR="00000000" w:rsidRPr="00000000" w:rsidDel="00000000">
              <w:rPr>
                <w:i w:val="1"/>
                <w:rtl w:val="0"/>
              </w:rPr>
              <w:t xml:space="preserve">"var ietvert izmaksas vadlīniju vai citu atbalsta materiālu izstrādei norišu plānošanai un sasaistei ar mācību saturu, papildus sabiedrības informēšanas pasākumu īstenošanai, norišu kataloga digitalizācijai, efektivitātes izvērtējuma nodrošinājumam, u.c. izmaksas, kas nepieciešamas projekta rezultātu sasniegšanai",</w:t>
            </w:r>
            <w:r w:rsidR="00000000" w:rsidRPr="00000000" w:rsidDel="00000000">
              <w:rPr>
                <w:rtl w:val="0"/>
              </w:rPr>
              <w:t xml:space="preserve"> tādējādi minētās izmaksas aprakstā paredzēts segt gan no projekta netiešajām, gan no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minētajām darbībām noteikumu projektā ir paredzētas tiešās attiecināmās izmaksas. Vienlaikus norādām, ka anotācijā minētās netiešās izmaksas pēc būtības neatbilst netiešo attiecināmo izmaksu definīcijai, kā to nosaka Vadošās iestādes vadlīnijās Nr.1.2. "Vadlīnijas attiecināmo izmaksu noteikšanai Eiropas Savienības kohēzijas politikas programmas 2021.-2027. gada plānošanas periodā" norādītā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Vadošās iestādes vadlīniju Nr.1.1. "Vadlīnijas par vienkāršoto izmaksu izmantošanas iespējām un to piemērošana Eiropas Savienības kohēzijas politikas programmas 2021.–2027.gadam ietvaros" 56. punktā noteikts, ka atbildīgajai iestādei ir jānorāda, kuras projekta darbības tiks iekļautas bāzes summā, kurai piemēros vienoto likmi, lai nodrošinātu atbilstošu dubultā finansējuma riska kontroli un novēršanu. Nevar vienādas darbības tikt iekļautas gan bāzes summā, gan izmaksās, kuras aprēķinātas, izmantojot vienoto likmi. Ņemot vērā minēto, lai mazinātu izmaksu pārklāšanās risku, lūdzam precizēt anotācijā norādīto informāciju par pasākumā plānotajām netiešajām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Nacionālie rādītāji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norādīts, ka </w:t>
            </w:r>
            <w:r w:rsidR="00000000" w:rsidRPr="00000000" w:rsidDel="00000000">
              <w:rPr>
                <w:i w:val="1"/>
                <w:rtl w:val="0"/>
              </w:rPr>
              <w:t xml:space="preserve">projekta ietvaros nacionālie rādītāji būtu uzskaitāmi tādā veidā, </w:t>
            </w:r>
            <w:r w:rsidR="00000000" w:rsidRPr="00000000" w:rsidDel="00000000">
              <w:rPr>
                <w:i w:val="1"/>
                <w:u w:val="single"/>
                <w:rtl w:val="0"/>
              </w:rPr>
              <w:t xml:space="preserve">lai varētu identificēt unikālo skolēnu un apmeklēto norišu skaitu pa jomām (STEM un pilsoniskā līdzdalība). </w:t>
            </w:r>
            <w:r w:rsidR="00000000" w:rsidRPr="00000000" w:rsidDel="00000000">
              <w:rPr>
                <w:i w:val="1"/>
                <w:rtl w:val="0"/>
              </w:rPr>
              <w:t xml:space="preserve">Finansējuma saņēmējs uzkrās datus par nacionālo radītāju izpildi un informāciju par to izpildi iesniegs atbildīgajai iestādei pēc tās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regulējumu, kas paredz datu uzkrāšanu par fiziskajām personām. Papildus lūdzam aizpildīt anotācijas 8.1.13. apakšsadaļu ar atbilstošu skaidrojumu, tostarp par to, kā paredzēts pārliecināties par unikālo skolēnu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paredzēta fizisko personu datu apstrāde, noteikumu projektu nepieciešams saskaņot arī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pret kurām atbalstāmajām darbībām, kas definētas noteikumu projekta 17.punktā, ir uzkrājami un uzraugāmi plānotie nacionālie rādītāji. Vēršam uzmanību ka Kohēzijas politikas fondu vadības informācijas sistēmā visi rādītāji, t.sk. nacionālie, jāsasaista ar darbībām. Tāpat, ņemot vērā, ka noteikumu projekta 6.punktā iekļautie nacionālie rādītāji ir noteikti papildus Eiropas Savienības kohēzijas politikas programmā 2021.–2027. gadam paredzētajiem rādītājiem, lūdzam anotācijā skaidrot, ka šo rādītāju uzraudzību veic pati atbildīgā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izglītojamo īpatsvars, kas piedalījušies norisēs, - vismaz 85 % no izglītojamo skaita šo noteikumu </w:t>
            </w:r>
            <w:r w:rsidR="00000000" w:rsidRPr="00000000" w:rsidDel="00000000">
              <w:rPr>
                <w:rtl w:val="0"/>
              </w:rPr>
              <w:t xml:space="preserve">4.</w:t>
            </w:r>
            <w:r w:rsidR="00000000" w:rsidRPr="00000000" w:rsidDel="00000000">
              <w:rPr>
                <w:rtl w:val="0"/>
              </w:rPr>
              <w:t xml:space="preserve"> punktā minētajās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tiesību normai ir jābūt skaidrai, lai tās lietotājs un piemērotājs gūtu nepārprotamu priekšstatu par normā ietvertajiem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6. punkta apakšpunktus, konkretizējot, vai izglītojamo skaita procentuālais īpatsvars noteikts </w:t>
            </w:r>
            <w:r w:rsidR="00000000" w:rsidRPr="00000000" w:rsidDel="00000000">
              <w:rPr>
                <w:u w:val="single"/>
                <w:rtl w:val="0"/>
              </w:rPr>
              <w:t xml:space="preserve">no kopējā visu attiecīgo izglītības iestāžu izglītojamo skaita</w:t>
            </w:r>
            <w:r w:rsidR="00000000" w:rsidRPr="00000000" w:rsidDel="00000000">
              <w:rPr>
                <w:rtl w:val="0"/>
              </w:rPr>
              <w:t xml:space="preserve">, vai arī </w:t>
            </w:r>
            <w:r w:rsidR="00000000" w:rsidRPr="00000000" w:rsidDel="00000000">
              <w:rPr>
                <w:u w:val="single"/>
                <w:rtl w:val="0"/>
              </w:rPr>
              <w:t xml:space="preserve">no katras attiecīgās izglītības iestādes izglītojamo skaita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šo noteikumu </w:t>
            </w:r>
            <w:r w:rsidR="00000000" w:rsidRPr="00000000" w:rsidDel="00000000">
              <w:rPr>
                <w:rtl w:val="0"/>
              </w:rPr>
              <w:t xml:space="preserve">17.3.</w:t>
            </w:r>
            <w:r w:rsidR="00000000" w:rsidRPr="00000000" w:rsidDel="00000000">
              <w:rPr>
                <w:rtl w:val="0"/>
              </w:rPr>
              <w:t xml:space="preserve"> un </w:t>
            </w:r>
            <w:r w:rsidR="00000000" w:rsidRPr="00000000" w:rsidDel="00000000">
              <w:rPr>
                <w:rtl w:val="0"/>
              </w:rPr>
              <w:t xml:space="preserve">17.4.</w:t>
            </w:r>
            <w:r w:rsidR="00000000" w:rsidRPr="00000000" w:rsidDel="00000000">
              <w:rPr>
                <w:rtl w:val="0"/>
              </w:rPr>
              <w:t xml:space="preserve"> apakšpunktā minētās atbalstāmās darbības īsteno sadarbībā ar pašvaldībām, kas ir vispārējās un profesionālās izglītības iestāžu dibinātājas, valsts dibinātām vispārējās un profesionālās izglītības iestādēm (tai skaitā koledžām), valsts augstskolu dibinātām akreditētām izglītības iestādēm un citu juridisku personu dibinātām akreditētām vispārējās un profesionālās izglītības iestādēm, kas īsteno Latvijā licencētas vispārējās izglītības programmas pirmsskolas, pamata un vidējās izglītības pakāpē un profesionālās izglītības programmas pamata un vidējās izglītības pakāpē.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13.punktu ar anotāciju norādīto sadarbības partneru definīciju, proti, "</w:t>
            </w:r>
            <w:r w:rsidR="00000000" w:rsidRPr="00000000" w:rsidDel="00000000">
              <w:rPr>
                <w:i w:val="1"/>
                <w:rtl w:val="0"/>
              </w:rPr>
              <w:t xml:space="preserve">sadarbības partneri projektā plānotas pašvaldības, kas ir </w:t>
            </w:r>
            <w:r w:rsidR="00000000" w:rsidRPr="00000000" w:rsidDel="00000000">
              <w:rPr>
                <w:i w:val="1"/>
                <w:u w:val="single"/>
                <w:rtl w:val="0"/>
              </w:rPr>
              <w:t xml:space="preserve">pirmsskolas izglītības iestāžu</w:t>
            </w:r>
            <w:r w:rsidR="00000000" w:rsidRPr="00000000" w:rsidDel="00000000">
              <w:rPr>
                <w:i w:val="1"/>
                <w:rtl w:val="0"/>
              </w:rPr>
              <w:t xml:space="preserve">, vispārējās izglītības iestāžu un profesionālās izglītības iestāžu dibinātājas; valsts dibinātas vispārējās un profesionālās izglītības iestādes, valsts augstskolu dibinātas akreditētas izglītības iestādes un citu juridisku personu dibinātas akreditētas vispārējās un profesionālās izglītības iestādes, kuras īsteno Latvijā licencētas vispārējās izglītības programmas pirmsskolas, pamata un vidējās izglītības pakāpē un profesionālās izglītības programmas pamata un vidējās izglītības pakāpē. t.sk. pasākuma mērķa grupu, kurā minētas ne tikai vispārējās un profesionālās izglītības iestādes, bet arī pašvaldību dibinātas pirmsskolas izglītības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 projekta iesnieguma apstiprināšanas finansējuma saņēmējs ar katru sadarbības partneri slēdz sadarbības līgumu atbilstoši normatīvajiem aktiem par kārtību, kādā Eiropas Savienības fondu vadībā iesaistītās institūcijas nodrošina Eiropas Savienības fondu ieviešanu 2021.–2027. gada plānošanas periodā un sadarbības līgumā iekļauj vismaz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15. punktā norādītos sadarbības līgumā iekļaujamos nosacījumus, nodrošinot, ka tie nedublē Ministru kabineta 2023. gada 13. jūlija noteikumu Nr. 408 "Kārtība, kādā Eiropas Savienības fondu vadībā iesaistītās institūcijas nodrošina šo fondu ieviešanu 2021.–2027. gada plānošanas periodā" 6. punktā noteikto. Attiecīgi aicinām noteikumu projektā norādīt tos sadarbības līgumā iekļaujamos nosacījumus, kurus paredzēts noteikt papildus (ja attiecināms) minētajā normā uzskaitītajiem.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anotācijā, kādā procedūrā tiks izvēlēti un piesaistīti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norišu apmeklēšana;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īstenošanas un uzraudzības posmā izvairītos no pārprotamām situācijām un iespējamiem neatbilstošiem izdevumiem, lūdzam anotācijā skaidrot, vai 4.2.2.1.pasākuma ietvaros būs iespēja apmeklēt tikai tās norises, kas būs/tiks iekļautas norišu katalogā.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19.2.2. maksa pakalpojuma sniedzējam par norises nodrošināšanu (tehniskās izmaksas, pakalpojuma sniedzēja personāla atlīdzība, tai skaitā autoratlīdzība, kas saistīta ar norises nodrošināšanu, pakalpojuma sniedzēja transporta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19.2.2.apakšpunktu ar atsauci uz konkrētu atbalstāmo darbību (noteikumu projekta punktu), lai nodrošinātu viennozīmīgu normas uztveramību un izmaksu attiecināmību, ņemot vēra, ka arī noteikumu projekta 19.3.apakšpunktā ir minētas pakalpojumu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19.2.3. norises piekļuves (ieejas) maksa vai maksa par digitālās norises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19.2.3.apakšpunktā minētās izmaksas "norises piekļuves (ieejas) maksa" pārklājas ar noteikumu projekta 19.2.1.apakšpunktā minētajām izmaksām par biļetēm. Gadījumā, ja tiek saglabāti abi apakšpunkti, lūdzam anotācijā skaidrot atšķirību starp izdevumiem par biļetēm (19.2.1.apakšpunkts) un norises piekļuves (ieejas) maksu (19.2.3.apakšpunkts).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19.2.</w:t>
            </w:r>
            <w:r w:rsidR="00000000" w:rsidRPr="00000000" w:rsidDel="00000000">
              <w:rPr>
                <w:rtl w:val="0"/>
              </w:rPr>
              <w:t xml:space="preserve"> apakšpunktā minētajām izmaksām piemēro atbildīgās iestādes izstrādātu un ar vadošo iestādi saskaņotu vienkāršoto izmaksu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saņēmējam uz projekta atlases brīdi būtu skaidri saprotami izmaksu attiecināmības nosacījumi un mērķa grupas atbalstam pieejamā finansējuma apmēri, lūdzam iesniegt atbildīgās iestādes izstrādāto vienkāršoto izmaksu metodiku līdz noteikumu projekta apstiprināšanai.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maksājumi, kas tiešā veidā saistīti ar projektu, uzskatāmi par attiecināmām izmaksām saskaņā regulas Nr.2021/1060 64.panta 1.punkta “c” apakšpunktā ietvertajiem nosacījumiem,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"i" punkta izriet, ka darbībām (t.i. projektiem), </w:t>
            </w:r>
            <w:r w:rsidR="00000000" w:rsidRPr="00000000" w:rsidDel="00000000">
              <w:rPr>
                <w:u w:val="single"/>
                <w:rtl w:val="0"/>
              </w:rPr>
              <w:t xml:space="preserve">kuru kopējās izmaksas ir mazākas nekā 5 000 000 </w:t>
            </w:r>
            <w:r w:rsidR="00000000" w:rsidRPr="00000000" w:rsidDel="00000000">
              <w:rPr>
                <w:i w:val="1"/>
                <w:u w:val="single"/>
                <w:rtl w:val="0"/>
              </w:rPr>
              <w:t xml:space="preserve">euro</w:t>
            </w:r>
            <w:r w:rsidR="00000000" w:rsidRPr="00000000" w:rsidDel="00000000">
              <w:rPr>
                <w:u w:val="single"/>
                <w:rtl w:val="0"/>
              </w:rPr>
              <w:t xml:space="preserve"> (ieskaitot pievienotās vērtības nodokli), pievienotās vērtības nodokļa izmaksas ir attiecināmas</w:t>
            </w:r>
            <w:r w:rsidR="00000000" w:rsidRPr="00000000" w:rsidDel="00000000">
              <w:rPr>
                <w:rtl w:val="0"/>
              </w:rPr>
              <w:t xml:space="preserve">; savukārt no "ii" punkta izriet, ka darbībām (t.i. projektiem), </w:t>
            </w:r>
            <w:r w:rsidR="00000000" w:rsidRPr="00000000" w:rsidDel="00000000">
              <w:rPr>
                <w:u w:val="single"/>
                <w:rtl w:val="0"/>
              </w:rPr>
              <w:t xml:space="preserve">kuru kopējās izmaksas ir vismaz 5 000 000 </w:t>
            </w:r>
            <w:r w:rsidR="00000000" w:rsidRPr="00000000" w:rsidDel="00000000">
              <w:rPr>
                <w:i w:val="1"/>
                <w:u w:val="single"/>
                <w:rtl w:val="0"/>
              </w:rPr>
              <w:t xml:space="preserve">euro </w:t>
            </w:r>
            <w:r w:rsidR="00000000" w:rsidRPr="00000000" w:rsidDel="00000000">
              <w:rPr>
                <w:u w:val="single"/>
                <w:rtl w:val="0"/>
              </w:rPr>
              <w:t xml:space="preserve">(ieskaitot pievienotās vērtības nodokli), pievienotās vērtības nodokļa izmaksas ir attiecināmas gadījumos, kad tas nav atgūstams saskaņā ar pievienotās vērtības nodokli reglamentējošiem valsts tiesību aktiem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nepieciešamību precizēt noteikumu projekta 23. punktu, ja varētu tikt īstenoti arī tādi projekti, kuru kopējās izmaksas ir mazākas nekā 5 000 000 </w:t>
            </w:r>
            <w:r w:rsidR="00000000" w:rsidRPr="00000000" w:rsidDel="00000000">
              <w:rPr>
                <w:i w:val="1"/>
                <w:rtl w:val="0"/>
              </w:rPr>
              <w:t xml:space="preserve">euro</w:t>
            </w:r>
            <w:r w:rsidR="00000000" w:rsidRPr="00000000" w:rsidDel="00000000">
              <w:rPr>
                <w:rtl w:val="0"/>
              </w:rPr>
              <w:t xml:space="preserve">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varētu tikt īstenoti gan tādi projekti, kuru kopējās izmaksas ir mazākas nekā 5 000 000 </w:t>
            </w:r>
            <w:r w:rsidR="00000000" w:rsidRPr="00000000" w:rsidDel="00000000">
              <w:rPr>
                <w:i w:val="1"/>
                <w:rtl w:val="0"/>
              </w:rPr>
              <w:t xml:space="preserve">euro</w:t>
            </w:r>
            <w:r w:rsidR="00000000" w:rsidRPr="00000000" w:rsidDel="00000000">
              <w:rPr>
                <w:rtl w:val="0"/>
              </w:rPr>
              <w:t xml:space="preserve"> (ieskaitot pievienotās vērtības nodokli), gan tādi projekti, kuru kopējās izmaksas ir vismaz 5 000 000 euro (ieskaitot pievienotās vērtības nodokli), aicinām izteikt noteikumu projekta 23. punktu piedāvātajā redakcijā, kā arī papildināt anotāciju ar atbilstošu informāciju par pievienotās vērtības nodokļa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maksājumi, kas tiešā veidā saistīti ar projektu, uzskatāmi par attiecināmām izmaksām, vienlaikus ievērojot regulas Nr. 2021/1060 64. panta 1. punkta “c” apakšpunktā ietvertos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Izmaksas finansējuma saņēmējam ir attiecināmas no šo noteikumu spēkā stāšanās dienas; šo noteikumu </w:t>
            </w:r>
            <w:r w:rsidR="00000000" w:rsidRPr="00000000" w:rsidDel="00000000">
              <w:rPr>
                <w:rtl w:val="0"/>
              </w:rPr>
              <w:t xml:space="preserve">13.</w:t>
            </w:r>
            <w:r w:rsidR="00000000" w:rsidRPr="00000000" w:rsidDel="00000000">
              <w:rPr>
                <w:rtl w:val="0"/>
              </w:rPr>
              <w:t xml:space="preserve"> punktā minētajiem sadarbības partneriem - no sadarbības līguma noslēgšanas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projekta izmaksas paredzēts attiecināt no noteikumu spēkā stāšanās dienas vai pirms tam, un finansējuma saņēmējs ir valsts budžeta iestāde, anotācijā ir jāsniedz pamatojums un noteikumu projektam ir jāpievieno Ministru kabineta sēdes protokollēmuma projekts, kas nosaka finanšu plūsmas pirms projekta apstiprināšanas nodrošināšanas nosacījumus, kā arī atbildīgās iestādes pienākumus un atbildību gadījumos, ja pirms projekta apstiprināšanas radušās izmaksas nav attiecināmas no Eiropas Savienības fondu līdzekļiem. Lūdzam atbilstoši papildināt Ministru kabineta sēdes protokollēmuma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Izmaksas finansējuma saņēmējam ir attiecināmas no šo noteikumu spēkā stāšanās dienas; šo noteikumu </w:t>
            </w:r>
            <w:r w:rsidR="00000000" w:rsidRPr="00000000" w:rsidDel="00000000">
              <w:rPr>
                <w:rtl w:val="0"/>
              </w:rPr>
              <w:t xml:space="preserve">13.</w:t>
            </w:r>
            <w:r w:rsidR="00000000" w:rsidRPr="00000000" w:rsidDel="00000000">
              <w:rPr>
                <w:rtl w:val="0"/>
              </w:rPr>
              <w:t xml:space="preserve"> punktā minētajiem sadarbības partneriem - no sadarbības līguma noslēgšanas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neatbilstoši veiktu izdevumu risku, lūdzam papildināt noteikumu projekta 24.punktu aiz vārdiem "no sadarbības līguma noslēgšanas dienas" ar vārdiem "</w:t>
            </w:r>
            <w:r w:rsidR="00000000" w:rsidRPr="00000000" w:rsidDel="00000000">
              <w:rPr>
                <w:i w:val="1"/>
                <w:rtl w:val="0"/>
              </w:rPr>
              <w:t xml:space="preserve">bet ne agrāk kā no dienas, kad ar finansējuma saņēmēju noslēgta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norises plāno šādā proporcijā: STEM jomā 75% un pilsoniskajā līdzdalībā 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un nepieciešamības gadījumā precizēt noteikumu projekta 26. punktu, norādot, vai minētā norišu proporcija jānodrošina katra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noteikumu projekta 26. punktā iekļauto prasību noteikt kā nacionālo rādītāju, kā arī papildināt anotāciju, kā plānots šo sadalījumu uzraudzīt, kā arī kādas sekas iestāsies, ja finansējuma saņēmējs projekta īstenošanas laikā šo sadalījuma proporciju neievēro.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un sadarbības partneri paraksta interešu konflikta neesības apliecinājumu un projekta īstenošanas laikā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un normatīvajiem aktiem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atsauci noteikumu projekta 31. punktā un anotācijā uz aktuālo Regulu 2024/2509.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Regulas 2024/2509 279. pantu atsauces uz atcelto regulu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uzkrāj datus par šādu horizontālo principu “Vienlīdzība, iekļaušana, nediskriminācija un pamattiesību ievērošana” rādītāju: konsultatīva rakstura pasākumu skaits par dzimumu līdztiesības, personu ar invaliditāti vienlīdzīgu iespēju, vecuma nediskriminācijas, etniskās u.c. piederības un pamattiesību jautājumiem, tostarp par  tiesiskajiem un praktiskajiem aspektiem.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33.punktu, paplašinot finansējuma saņēmēja pienākumus uzkrāt datus atbilstoši noteikumu projektā noteiktajam, lai nodrošinātu projekta uzraudzībai nepieciešamo datu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uzkrāj datus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šo noteikumu 6. punktā minēto nacionālo rādītāju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horizontālā principa "Vienlīdzība, iekļaušana, nediskriminācija un pamattiesību ievērošana" rādītāju: konsultatīva rakstura pasākumu skaits par dzimumu līdztiesības, personu ar invaliditāti vienlīdzīgu iespēju, vecuma nediskriminācijas, etniskās u.c. piederības un pamattiesību jautājumiem, tostarp par  tiesiskajiem un praktiskajiem aspektiem;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norišu proporciju  STEM jomā 75% un pilsoniskajā līdzdalībā 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un sadarbības partneri projekta īstenošanā nodrošina nepārklāšanās principu ar citiem valsts un ārvalstu finanšu atbalsta instrumentiem.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34. punktu aiz vārdiem "finanšu atbalsta instrumentiem" ar vārdiem "un dubultā finansējuma neiestāšanos". Vēršam uzmanību, ka dubultā finansējuma neiestāšanās nodrošināma ne tikai saistībā ar citiem valsts un ārvalstu finanšu atbalsta instrumentiem, bet arī konkrētā projekta īstenošanai piešķirtā finansējuma ietvaros darbības nedrīkst tikt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4.lpp norādīto atsauci uz Ministru kabineta rīkojuma projektu (24-TA-1725), aizstājot vārdu salikumu "rīkojuma projektu" ar vārdiem un skaitļiem "2024.gada 30.jūlija rīkojumu Nr.635", attiecīgi precizējot arī tā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"Risinājuma apraksts" aprakstā par pārējām izmaksām 4) apakšpunktā precizēt norādīto atsauci uz noteikuma projekta 20.punktu, norādot 21.punktu. Šobrīd norādīts, ka "personāla izmaksu likme un piemērošanas nosacījumi ir noteikti pasākuma Ministru kabineta noteikumos (noteikumu projekta 20. punkts)", taču noteikumu projekta 20.punkts paredz netiešo izmaksu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6.punktā noteiktie nacionālie rādītāji ir papildus Programmā paredzētajiem un nav tieši saistīti ar pasākuma mērķi un Programmā paredzētajiem uzraudzības rādītājiem, kā arī lai mazinātu administratīvo slogu, lūdzam anotācijas sadaļā "Risinājuma apraksts" pie uzraudzības rādītājiem teikumu "Finansējuma saņēmējs uzkrās datus par nacionālo radītāju izpildi un informāciju par to izpildi iesniegs atbildīgajai iestādei pēc tās pieprasījuma" izteikt šādā redakcijā: "Atbildību par uzkrāto nacionālo rādītāju datu ticamību uzņemas finansējuma saņēmējs un sadarbības iestāde neveic šo datu pārbaudi. Nacionālos rādītājus finansējuma saņēmējs ievada Kohēzijas politikas fondu vadības informācijas sistēmā, iesniedzot maksājuma pieprasījumu. 4.2.2.1.pasākuma ietvaros uzkrātie dati ir informatīvi, tiek vākti nozares vajadzībām un informāciju par to izpildi iesniegs atbildīgajai iestādei pēc tās pieprasījuma."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"Risinājuma apraksts" iekļaut informāciju par plānoto norišu skaitu mācību gadā vienam izglītojamajam, tādējādi ļaujot noprast, cik kopumā liela finansējuma daļa no visa pieejamā finansējuma pasākuma ietvaros tiks novirzīta pasākuma mērķa grupai tieši norišu apmeklēšanai.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pasākuma ietvaros netiek paredzēts elastības finansējums, kā arī papildināt ar informāciju, kura 4.2.prioritātes ESF+ specifiskā atbalsta mērķa ietvaros tiks noteikts elastības finansējums, lai nodrošinātu Eiropas Savienības Kohēzijas politikas programmas 2021. – 2027. gadam noteikto elastības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pasākuma ietekmi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16.10.2024.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16.10.2024.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Atzinumi_23-TA-1285.docx</dc:title>
</cp:coreProperties>
</file>

<file path=docProps/custom.xml><?xml version="1.0" encoding="utf-8"?>
<Properties xmlns="http://schemas.openxmlformats.org/officeDocument/2006/custom-properties" xmlns:vt="http://schemas.openxmlformats.org/officeDocument/2006/docPropsVTypes"/>
</file>