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datu pārvaldības sistēmas "Ozols" (turpmāk – dabas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59. punktā visās atsaucēs lietot korektu dabas datu pārvaldības sistēmas "Ozols"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Lauksaimniecības zemē esoši mitrāji ir lauksaimnieciskai darbībai izmantota pārmitra vai periodiski ar seklu ūdens slāni klāta palieņu pļava, zāļu vai kūdras purvu platība, kas pēc stāvokļa iepriekšējā gada 31. decembrī ir kartogrāfiski identificēta Lauku atbalsta dienesta lauku bloku identifikācijas sistēmas lauku bloku kartē, izmantojot Dabas aizsardzības pārvaldes </w:t>
            </w:r>
            <w:r w:rsidR="00000000" w:rsidRPr="00000000" w:rsidDel="00000000">
              <w:rPr>
                <w:b w:val="1"/>
                <w:rtl w:val="0"/>
              </w:rPr>
              <w:t xml:space="preserve">dabas</w:t>
            </w:r>
            <w:r w:rsidR="00000000" w:rsidRPr="00000000" w:rsidDel="00000000">
              <w:rPr>
                <w:rtl w:val="0"/>
              </w:rPr>
              <w:t xml:space="preserve"> datu pārvaldības sistēmas "Ozols" (turpmāk – dabas datu pārvaldības sistēma "Ozols")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ārpus īpaši aizsargājamām teritorijām, ja tiek izmantoti risinājumi, kas nepalielina siltumnīcefekta gāzu emisiju no augsnes, un meliorācijas objekti ir sedimentācijas baseini, divpakāpju meliorācijas grāvji, akmeņu krāvumi, meandrēšana, kontrolētā drenāža, mākslīgie mitrāji, koka šķeldas bioreaktori, piesātinātās buferjoslas vai šo elementu kombinācijas. Valsts sabiedrība ar ierobežotu atbildību "Zemkopības ministrijas nekustamie īpašumi" ir izsniegusi tehniskos noteikumus, lai īstenotu videi draudzīgus meliorācijas sistēmu elementu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papildinot ar vārdu "dabas", izsakot šādā redakcijā: "ārpus īpaši aizsargājamām </w:t>
            </w:r>
            <w:r w:rsidR="00000000" w:rsidRPr="00000000" w:rsidDel="00000000">
              <w:rPr>
                <w:u w:val="single"/>
                <w:rtl w:val="0"/>
              </w:rPr>
              <w:t xml:space="preserve">dabas</w:t>
            </w:r>
            <w:r w:rsidR="00000000" w:rsidRPr="00000000" w:rsidDel="00000000">
              <w:rPr>
                <w:rtl w:val="0"/>
              </w:rPr>
              <w:t xml:space="preserve"> teritorijām, 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nozīmes aizsargājamās dabas teritorijās (turpmāk – Natura 2000 teritorijas) un īpaši aizsargājamās dabas teritorijās, ja to paredz īpaši aizsargājamās dabas teritorijas dabas aizsardzības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papildinot ar vārdu "Eiropas", izsakot šādā redakcijā: "Eiropas nozīmes aizsargājamās dabas teritorijās (turpmāk – Natura 2000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Platību, ko aizņem ar ražošanu nesaistītas platības un ainavas elementi, aprēķina, izmantojot šo noteikumu </w:t>
            </w:r>
            <w:r w:rsidR="00000000" w:rsidRPr="00000000" w:rsidDel="00000000">
              <w:rPr>
                <w:rtl w:val="0"/>
              </w:rPr>
              <w:t xml:space="preserve">14. </w:t>
            </w:r>
            <w:r w:rsidR="00000000" w:rsidRPr="00000000" w:rsidDel="00000000">
              <w:rPr>
                <w:rtl w:val="0"/>
              </w:rPr>
              <w:t xml:space="preserve">pielikumā</w:t>
            </w:r>
            <w:r w:rsidR="00000000" w:rsidRPr="00000000" w:rsidDel="00000000">
              <w:rPr>
                <w:rtl w:val="0"/>
              </w:rPr>
              <w:t xml:space="preserve"> minētos svēruma un pārrēķina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81. punktā minēts, ka Zemkopības ministrija ir uzsākusi grozījumu gatavošanu KLP stratēģiskajā plānā, kur tiks iekļauts arī šis VARAM priekšlikums. Lūdzam KLP stratēģiskā plāna grozījumu izstrādē pieaicināt arī VARAM un Dabas aizsardzības pārvaldes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w:t>
            </w:r>
            <w:r w:rsidR="00000000" w:rsidRPr="00000000" w:rsidDel="00000000">
              <w:rPr>
                <w:rtl w:val="0"/>
              </w:rPr>
              <w:t xml:space="preserve">regulas 2021/2115 III pielikumā</w:t>
            </w:r>
            <w:r w:rsidR="00000000" w:rsidRPr="00000000" w:rsidDel="00000000">
              <w:rPr>
                <w:rtl w:val="0"/>
              </w:rPr>
              <w:t xml:space="preserve"> noteiktajam 8.2. LLVS standartam lauksaimnieks saglabā un nepieļauj dabas pieminekļu – dižakmeņu, aizsargājamu koku un aleju – iznīcināšanu vai bojāšanu, ja tie ir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85. punkta redakciju, ka aizliegums iznīcināt vai bojāt dabas pieminekļus attiecas uz dabas pieminekli un normatīvajos aktos noteikto tā aizsardzības teritoriju, jo īpaši aizsargājama dabas teritorija ir visa ar normatīvajiem aktiem noteikta dabas pieminekļa teritorija, kurā ir jāievēro normatīvajos aktos noteiktās prasības, piemēram, dabas pieminekļa teritorijā aizliegums veikt darbības, kuru dēļ tiek bojāts vai iznīcināts dabas piemineklis vai mazināta tā dabiskā estētiskā, ekoloģiskā un kultūrvēsturiskā vērtība; aizliegums iznīcināt dabisko zemsedzi teritorijā ap dižkoku vainagu projekcijas platībā, kā arī 10 metru platā joslā no tās. Šāds precizējums nav uzskatāms par esošo normu paplašināšanu, jo tās ir spēkā jau šobrīd, bet tas atvieglos šīs tiesību normas piemērošanu pretendentiem, jo, pieļaujot īpaši aizsargājamas dabas teritorijas - dabas pieminekļa </w:t>
            </w:r>
            <w:r w:rsidR="00000000" w:rsidRPr="00000000" w:rsidDel="00000000">
              <w:rPr>
                <w:b w:val="1"/>
                <w:rtl w:val="0"/>
              </w:rPr>
              <w:t xml:space="preserve">teritorijas </w:t>
            </w:r>
            <w:r w:rsidR="00000000" w:rsidRPr="00000000" w:rsidDel="00000000">
              <w:rPr>
                <w:rtl w:val="0"/>
              </w:rPr>
              <w:t xml:space="preserve">bojāšanu vai iznīcināšanu, pretendents var tikt saukts pie administratīvās vai pat kriminālatbildības. Lūdzam attiecīgi precizēt arī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Atbilstoši regulas 2021/2115 III pielikumā noteiktajam 8.2. LLVS standartam lauksaimnieks saglabā un nepieļauj dabas pieminekļu – dižakmeņu, aizsargājamu koku un aleju </w:t>
            </w:r>
            <w:r w:rsidR="00000000" w:rsidRPr="00000000" w:rsidDel="00000000">
              <w:rPr>
                <w:b w:val="1"/>
                <w:rtl w:val="0"/>
              </w:rPr>
              <w:t xml:space="preserve">un to aizsardzības teritorijas, kas noteikta dabas datu pārvaldības sistēmā "Ozols"</w:t>
            </w:r>
            <w:r w:rsidR="00000000" w:rsidRPr="00000000" w:rsidDel="00000000">
              <w:rPr>
                <w:rtl w:val="0"/>
              </w:rPr>
              <w:t xml:space="preserve">, – iznīcināšanu vai bojāšanu, ja tie ir aizsargājami saskaņā ar normatīvajiem aktiem par īpaši aizsargājamo dabas teritoriju aizsardzību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89. punktu un ekoloģiski jutīgo ilggadīgo zālāju atbalsta shēmā </w:t>
            </w:r>
            <w:r w:rsidR="00000000" w:rsidRPr="00000000" w:rsidDel="00000000">
              <w:rPr>
                <w:b w:val="1"/>
                <w:rtl w:val="0"/>
              </w:rPr>
              <w:t xml:space="preserve">esošā finansējuma ietvaros </w:t>
            </w:r>
            <w:r w:rsidR="00000000" w:rsidRPr="00000000" w:rsidDel="00000000">
              <w:rPr>
                <w:rtl w:val="0"/>
              </w:rPr>
              <w:t xml:space="preserve"> iekļaut arī zālāju aizsardzībai potenciāli nozīmīgas vietas, kas kalpo ne tikai bioloģiskās daudzveidības saglabāšanai, bet arī kā apputeksnētāju, plūdu risku mazināšanas, ainavas daudzveidību uzturošas teritorijas, kas ir svarīgi Kopējās lauksaimniecības politikas noteiktā zālāju aizsardzības mērķa un sasniedzamo rezultātu sasniegšanai.  Dabas aizsardzības pārvalde šādu informāciju var nodrošināt dabas datu pārvaldības sistēmā '"Ozols" ģeotelpisko datu veidā, katru gadu datus aktualizējot. Lūdzam attiecīgi precizēt informāciju anotācijā, ja nepieciešams, sniedzot informāciju par nepieciešamajiem precizējumiem Kopējās lauksaimniecības politikas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r w:rsidR="00000000" w:rsidRPr="00000000" w:rsidDel="00000000">
              <w:rPr>
                <w:b w:val="1"/>
                <w:rtl w:val="0"/>
              </w:rPr>
              <w:t xml:space="preserve">, kā arī ekoloģiski nozīmīgs zālājs, kas reģistrēts dabas datu pārvaldības sistēmā “Ozols”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kārtējā gada ģeotelpiskajā iesniegumā deklarētā atbalsttiesīgā lauksaimniecības zemes platība ir vismaz četri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 noteikumu projekta 111.2. apakšpunktā noteiktais nosacījums par 4 ha platību mazajiem lauksaimniekiem neradīs ierobežojumu saņemt atbalsta maksājumu, kā tas ir norādīts izziņas 46.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stratēģiskajā ietekmes uz vidi izvērtējumā plānoto Kopējās lauksaimniecības politikas Stratēģiskā plāna (KLP SP) mērķu bioloģiskās daudzveidības un ekosistēmu saglabāšanai sasniegšanu, lūdzam virzīt KLP SP grozījumus, kas precizē svēruma un pārrēķina koeficientus atbalsttiesīgās teritorijas aprēķināšanai lauksaimniecības platībās esošajiem dabas pieminekļiem, lūdzam paredzēt esošajos normatīvajos aktos noteikto normu ievērošanu, kas nosaka, ka neveic darbības, kas varētu bojāt dabas pieminekli, piemēram, gan dižkoka, gan tā vainaga projekcijas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28.03.2023.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28.03.2023.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Atzinumi_22-TA-3815.docx</dc:title>
</cp:coreProperties>
</file>

<file path=docProps/custom.xml><?xml version="1.0" encoding="utf-8"?>
<Properties xmlns="http://schemas.openxmlformats.org/officeDocument/2006/custom-properties" xmlns:vt="http://schemas.openxmlformats.org/officeDocument/2006/docPropsVTypes"/>
</file>