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4.3.4.2. pasākuma “Atbalsta pasākumi vienlīdzīgu iespēju un nediskriminācijas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pasākuma ietvaros ir biedrība vai nodibinājums, kas pārstāv šo noteikumu 3. punktā minēto mērķa grupas personu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projekta 14. punktu ar anotācijā minēto: </w:t>
            </w:r>
            <w:r w:rsidR="00000000" w:rsidRPr="00000000" w:rsidDel="00000000">
              <w:rPr>
                <w:i w:val="1"/>
                <w:rtl w:val="0"/>
              </w:rPr>
              <w:t xml:space="preserve">"Ņemot vērā minēto, kā finansējuma saņēmēji 4.3.4.2. pasākumā tiek noteiktas biedrības un nodibinājumi, kuri pārstāv </w:t>
            </w:r>
            <w:r w:rsidR="00000000" w:rsidRPr="00000000" w:rsidDel="00000000">
              <w:rPr>
                <w:b w:val="1"/>
                <w:i w:val="1"/>
                <w:u w:val="single"/>
                <w:rtl w:val="0"/>
              </w:rPr>
              <w:t xml:space="preserve">kādu no </w:t>
            </w:r>
            <w:r w:rsidR="00000000" w:rsidRPr="00000000" w:rsidDel="00000000">
              <w:rPr>
                <w:i w:val="1"/>
                <w:rtl w:val="0"/>
              </w:rPr>
              <w:t xml:space="preserve">4.3.4.2. pasākumā noteikto diskriminācijas riskam pakļauto mērķa grupas personu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tai skaitā, nediskriminācija un vienlīdzīgu iespēju veicināšana dažādās dzīves jomās, vides un pakalpojumu piekļūstamības veicināšana, sabiedrībā valdošo stereotipu mazināšana par diskriminācijas riskam pakļautajām personu grupām, cieņpilnas attieksmes, tolerances, iecietības un dažādības veicināšana, pašapziņas celšana, cilvēktiesību ievērošanas un naida runas mazināšana.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vārdkopas "naida runa" izmantošanu un saturu projekta 24.2. apakšpunktā, tostarp skaidrot, kāda veida nodarījumi ir domāti. Ja normā atbilstoši Krimināllikuma terminoloģijai (sk., piemēram, 150. pantu) domāta naida vai nesaticības izraisīšana, aicinām attiecīgi precizēt normu. Alternatīvi lūdzam sniegt skaidrojumu anotācijā par normas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nodrošina, ka atbalsta pasākumi ietver mērķa grupas personām aktuālu tēmu loku, tai skaitā, nediskriminācija un vienlīdzīgu iespēju veicināšana dažādās dzīves jomās, vides un pakalpojumu piekļūstamības veicināšana, sabiedrībā valdošo stereotipu mazināšana par diskriminācijas riskam pakļautajām personu grupām, cieņpilnas attieksmes, tolerances, iecietības un dažādības veicināšana, pašapziņas celšana, cilvēktiesību ievērošanas un naida runas mazināšana.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projekta 24.2. apakšpunktu, jo no pašreizējās redakcijas nav pilnīgi skaidrs, vai uzskaitījums ir domāts kā izsmeļošs tēmu uzskaitījums, ņemot vērā vārdu "tai skaitā", nevis "piemēram" vai cita piemērota vārda izmantošanu. Attiecīgi aicinām izvērtēt un precizēt normu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25.7. savā tīmekļa vietnē, ja tāda ir, un sociālajos tīklos ievieto informāciju par projekta īstenošanu un aktualizē to, tiklīdz pieejama aktuālāka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projekta 25.7. apakšpunktā attiecībā uz tīmekļa vietni ietverto norādi (proti, "ja tāda ir") ietvert arī attiecībā uz sociālajiem tīkliem. Alternatīvi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personas, kuras paļautas sociālās atstumtības riskam diskriminācijas invaliditātes, vecuma, dzimuma, etniskās piederības, reliģiskās pārliecības un seksuālās orientācijas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pasākuma mērķa grupas izvēli, tostarp skaidrojot, kādēļ minētas tieši konkrētās sociālās atstumtības riskam pakļautās personu grupas un minēti konkrētie diskriminācijas pamati (salīdzinājumam sk., piemēram, Eiropas Savienības Pamattiesību hartas 21. pantā minētos diskriminācijas pamatus, kā arī Ministru kabineta 2018. gada 27. marta noteikumu Nr. 173 "Noteikumi par sociālās atstumtības riskam pakļauto iedzīvotāju grupām un sociālā uzņēmuma statusa piešķiršanas, reģistrēšanas un uzraudzības kārtību" 2. punktā noteiktās iedzīvotāju grupas, kuras ir pakļautas sociālās atstumtības riskam). Nepieciešamības gadījumā lūdzam precizēt projektu. Papildus aicinām izvērtēt, vai saikļa "un" vietā projekta 3. punktā nav lietojams saiklis "vai", un precizēt normu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uzkrāj, uzskaita un iesniedz sadarbības iestādē apkopotus datus par atbalstu saņēmušām šo noteikumu 3. punktā minētajām mērķa grupas personām atbilstoši Eiropas Parlamenta un Padomes 2021. gada 24. jūnija regulas (ES) Nr. 2021/1057, ar ko izveido Eiropas Sociālo fondu Plus (ESF+) un atceļ Regulu (ES) Nr. 1296/2013 1. pielikumam un saskaņā ar normatīvajiem aktiem, kas nosaka kārtību, kādā tiek veiktas pārbaude Eiropas Savienības fondu projektos 2021.—2027. gada plānošanas periodā,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25.10. apakšpunktā beigu daļā, ņemot vērā norādi uz normatīvo aktu [..] 1. pielikumu, ietvert vai nu konkrētu norādi uz Ministru kabineta 2023. gada 21. marta noteikumu Nr. 135 "Eiropas Savienības fondu projektu pārbaužu veikšanas kārtība 2021.–2027. gada plānošanas periodā" 1. pielikumu, vai arī vispārīgu norādi uz normatīvajiem aktiem, kas nosaka kārtību, kādā tiek veiktas pārbaude Eiropas Savienības fondu projektos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valsts un pašvaldību institūcijas, kas piedalījušās projekta izstrādē (piemēram, Labklājības ministrija). Papildus aicinām izvērtēt, vai tiešām visas anotācijas 6.1. sadaļā uzskaitītās nevalstiskās organizācijas ir piedalījušās </w:t>
            </w:r>
            <w:r w:rsidR="00000000" w:rsidRPr="00000000" w:rsidDel="00000000">
              <w:rPr>
                <w:u w:val="single"/>
                <w:rtl w:val="0"/>
              </w:rPr>
              <w:t xml:space="preserve">projekta izstrādē</w:t>
            </w:r>
            <w:r w:rsidR="00000000" w:rsidRPr="00000000" w:rsidDel="00000000">
              <w:rPr>
                <w:rtl w:val="0"/>
              </w:rPr>
              <w:t xml:space="preserve">, un, ja nepieciešams,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11.12.2023. 09.31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23-TA-2761</w:t>
    </w:r>
    <w:r>
      <w:br/>
    </w:r>
    <w:r w:rsidR="00000000" w:rsidRPr="00000000" w:rsidDel="00000000">
      <w:rPr>
        <w:rtl w:val="0"/>
      </w:rPr>
      <w:t xml:space="preserve">Izdrukāts 11.12.2023. 09.31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Atzinumi_23-TA-2761.docx</dc:title>
</cp:coreProperties>
</file>

<file path=docProps/custom.xml><?xml version="1.0" encoding="utf-8"?>
<Properties xmlns="http://schemas.openxmlformats.org/officeDocument/2006/custom-properties" xmlns:vt="http://schemas.openxmlformats.org/officeDocument/2006/docPropsVTypes"/>
</file>