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 un koledža iesniedz Izglītības un zinātnes ministrijai informāciju par savu darbību un to publisko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personas datu apstrādi, piemēram, projekta 2.2. un 3.punkts, lūdzam aizpildīt anotācijas 8.1.13. apakšpunktu,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20.05.2025.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20.05.2025.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Atzinumi_23-TA-350.docx</dc:title>
</cp:coreProperties>
</file>

<file path=docProps/custom.xml><?xml version="1.0" encoding="utf-8"?>
<Properties xmlns="http://schemas.openxmlformats.org/officeDocument/2006/custom-properties" xmlns:vt="http://schemas.openxmlformats.org/officeDocument/2006/docPropsVTypes"/>
</file>