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Farmācijas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"Biofarmaceitisko zāļu ražotāju asociācija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BRAL atzinīgi vērtē Veselības ministrijas centienus veicināt zāļu pieejamību pacientiem. Tomēr nevaram saskaņot projektu, ņemot vērā biedru izteiktās bažas par likumprojekta potenciāli negatīvo ietekmi uz tirgus stabilitāti, produktu piegāžu plānošanu, zāļu pieejamību un ražotāju darbību tirgū, kā arī attiecībā uz saistību izpildi gadījumos, kad ir noslēgti finansiālās līdzdalības līgumi.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Krūmiņa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BRAL atzinīgi vērtē Veselības ministrijas centienus veicināt zāļu pieejamību pacientiem. Tomēr nevaram saskaņot projektu, ņemot vērā biedru izteiktās bažas par likumprojekta potenciāli negatīvo ietekmi uz tirgus stabilitāti, produktu piegāžu plānošanu, zāļu pieejamību un ražotāju darbību tirgū, kā arī attiecībā uz saistību izpildi gadījumos, kad ir noslēgti finansiālās līdzdalības līgumi.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Krūmiņa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10.11.2025. 19.54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10.11.2025. 19.54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Atzinumi_25-TA-588.docx</dc:title>
</cp:coreProperties>
</file>

<file path=docProps/custom.xml><?xml version="1.0" encoding="utf-8"?>
<Properties xmlns="http://schemas.openxmlformats.org/officeDocument/2006/custom-properties" xmlns:vt="http://schemas.openxmlformats.org/officeDocument/2006/docPropsVTypes"/>
</file>