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22-TA-2217: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Aizsardzības industrijas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aizsardzības industrija </w:t>
            </w:r>
            <w:r w:rsidR="00000000" w:rsidRPr="00000000" w:rsidDel="00000000">
              <w:rPr>
                <w:rtl w:val="0"/>
              </w:rPr>
              <w:t xml:space="preserve">– komersanti un zinātniskās institūcijas, kas veic militāru vai divējāda lietojuma tehnoloģiju vai produktu izstrādi, ražošanu, pilnveidošanu, uzglabāšanu, pārvadāšanu, tehnisko apkalpošanu, remontu vai utilizāciju, kā arī sniedz ar šīm darbībām saistītus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sagatavotais likumprojekts “Aizsardzības industrijas likums” (turpmāk – projekts) un par to izsakām šādus iebildumus.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panta 1. punktā paredzētā termina “aizsardzības industrija” un 1. panta 3. punktā paredzētā termina “aizsardzības nozare” izmantošanu projekta turpmākajā tekstā nepieciešams papildus izvērtēt un precizēt. Vēršam uzmanību, ka projektā regulējumu par fizisko un juridisko personu (“aizsardzības industrija”) tiesībām un pienākumiem (kompetenci) nepieciešams veidot precīzi, lai likuma subjektus to darbības laikā varētu korekti identificēt. Vēl būtiskāk ir projektā precīzi noteikt valsts pārvaldes institūciju jeb “aizsardzības nozares” kompetenci, kā to paredz Valsts pārvaldes iekārtas likuma 10.pantā noteiktais tiesiskuma princips. Tādējādi projektā “aizsardzības nozares” kompetence ir jāpārveido par konkrētu iestāžu kompetenci un rīcību noteiktos gadījumos. Projektā nav pieļaujamas vispārīgas frāzes, piemēram, “aizsardzības nozare savas kompetences un pieejamo resursu ietvaros” vai “aizsardzības nozares struktūrvienības” un citi līdzīgi vispārināti apzīmējumi.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b w:val="1"/>
                <w:rtl w:val="0"/>
              </w:rPr>
              <w:t xml:space="preserve">piegādes drošība</w:t>
            </w:r>
            <w:r w:rsidR="00000000" w:rsidRPr="00000000" w:rsidDel="00000000">
              <w:rPr>
                <w:rtl w:val="0"/>
              </w:rPr>
              <w:t xml:space="preserve"> – piegādes garantijas attiecībā uz Nacionālajiem bruņotajiem spēkiem nepieciešamo materiāltehnisko līdzekļu vai pakalpojumu piegādi, kuras ietvaros maksimāli iespējamā apjomā mazina trešo pušu iejaukšanās iespējas un kura nepieciešama, lai nodrošinātu Nacionālo bruņoto spēku likumā un citos nacionālajos normatīvajos aktos vai Latvijas Republikas starptautiskajās saistībās Nacionālajiem bruņotajiem spēkiem noteikto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panta 4. punktā paredzēto termina “piegādes drošība” skaidrojumu un turpmāko projekta regulējumu nepieciešams izvērtēt un precizēt. Vēršam uzmanību, ka projektā paredzētais tiesiskais regulējums un tajā izmantotā terminoloģija nevar atšķirties no esošās tiesību sistēmas. Nacionālo bruņoto spēku apgādei ar materiāltehniskajiem līdzekļiem vai pakalpojumiem jānotiek atbilstoši Aizsardzības un drošības jomas iepirkumu likumā noteiktajam regulējumam, kurā materiāltehniskie līdzekļi ir preces, tādēļ arī projektā ar aizsardzības nozares apgādi saistītā terminoloģija nedrīkst atšķirties. Ievērojot minēto, projekta 1. panta 4. punktā un turpmāk projektā vārdus “materiāltehnisko līdzekļu vai pakalpojumu piegādi” nepieciešams aizstāt ar vārdiem “preču piegāde vai pakalpojumu sniegšana”. Papildus norādām, ka arī Stratēģiskas nozīmes preču aprites likumā tiek izmantots termins “prece”. Tādējādi nebūtu pieļaujams apzīmējumu “materiāltehniskie līdzekļi” izmantot iegādes procesu tiesiskā regulējuma veidošanā.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Piegādes drošības un aizsardzības industrijas attīstības atbalsta tiesiskais ietvars ir šis likums, Nacionālās drošības likums, Mobilizācijas likums, Nacionālo bruņoto spēku likums, Līguma par Eiropas Savienības darbību 346. pants un citi normatīvie akti, kurus piemēro, izvērtējot to samērīgumu ar šī likuma mērķi, Eiropas Savienības tiesību aktiem un judikatūru komercdarbības atbalsta kontroles jomā, kā arī šādu pasākumu iespējamo ietekmi uz tādu ražojumu konkurenci Eiropas Savienības iekšējā tirgū, kuri nav tieši paredzēti militāriem nolūkiem.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4. panta pirmajā un otrajā daļā izslēgt norādes par normatīvajiem aktiem, kurus piemēro, izvērtējot to samērīgumu ar šī likuma mērķi, Eiropas Savienības tiesību aktiem un judikatūru komercdarbības atbalsta kontroles jomā u.c. Norādām, ka no minētajām norādēm neizriet skaidra tiesību normu piemērošanas prioritāte, kā arī nav gūstama pārliecība par attiecīgās norādes atbilstību Eiropas Savienības tiesību pārākuma principam.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industrijas darbības drošības tiesiskais ietvars ir šis likums, Nacionālās drošības likums, Stratēģiskas nozīmes preču aprites likums, Mobilizācijas likums, Ieroču aprites likums, Nacionālo bruņoto spēku likums un citi normatīvi, kurus piemēro, izvērtējot to samērīgumu ar šī likuma mērķi un Latvijas Republikai saistošām starptautisko tiesību normām.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4. panta otrajā daļā un 9. panta otrās daļas 2. punktā precizēt norādi uz normatīviem, aizstājot to ar atsauci uz ārējo normatīvo aktu jomu, ievērojot Ministru kabineta 2009. gada 3. februāra noteikumu Nr. 108 "Normatīvo aktu projektu sagatavošanas noteikumi" (turpmāk - noteikumi Nr. 108) 63. punktu, vai alternatīvi lūdzam likumprojektā un tā anotācijā skaidrot, par kādiem normatīviem konkrēti ir runa, ja attiecīgie normatīvi ietverti ārējos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Piegādes drošības ietekmes faktoru izvērtēšanu, piegādes drošību veicinošu prasību noteikšanu un šādu prasību izvirzīšanas kontroli aizsardzības nozares ietvaros veic Aizsardzības ministrijas izveidota Piegādes drošības komisija.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un tā anotācijā konsekventi norādīt uz piegādes drošības ietekmes faktoriem vai skaidrot, ar ko piegādes drošības faktori atšķiras no piegādes drošības ietekmes faktoriem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Piegādes drošības ietekmes faktoru izvērtēšanu, piegādes drošību veicinošu prasību noteikšanu un šādu prasību izvirzīšanas kontroli aizsardzības nozares ietvaros veic Aizsardzības ministrijas izveidota Piegādes drošības komisija.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5. panta trešo daļu papildināt ar uzdevumu veikt piegādes drošību veicinošu prasību kontroli (uz ko norādīts likumprojekta 5. panta pirmajā daļā un tā anotācijā) vai skaidrot likumprojekta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Piegādes drošības ietekmes faktoru izvērtēšanu, piegādes drošību veicinošu prasību noteikšanu un šādu prasību izvirzīšanas kontroli aizsardzības nozares ietvaros veic Aizsardzības ministrijas izveidota Piegādes drošības komisija.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panta trešajā daļā un turpmāk projektā paredzēts regulējums par Aizsardzības ministrijas Piegādes drošības komisiju. Vēršam uzmanību, ka šāds regulējums ir pretrunā ar Valsts pārvaldes iekārtas likumā noteikto par iestādes būtību un kompetenci. Ņemot vērā, ka projektā izvērstā veidā netiek veidots regulējums par Aizsardzības ministrijas Piegādes drošības komisiju kā valsts pārvaldē identificējamu institūciju, atbildīgā iestāde par projektā paredzētā regulējuma izpildi būs Aizsardzības ministrija. Tādējādi komisijas norāde projektā no institucionālā viedokļa ir lieka un maldinoša. Tieslietu ministrija tiesisko regulējumu piedāvā veidot līdzīgi, kā tas ir noteikts Stratēģiskas nozīmes preču aprites likumā, kad likuma regulējums paredz Aizsardzības ministrijas kompetenci, kur komisija ir likumā neminēta iestādes struktūrvienība licenču izsniegšanai. Par šādu darba organizācijas modeli var norādīt arī projekta anotācijā, vai arī projektā veidot izvērstu institūcijas regulējumu, kāds Stratēģiskas nozīmes preču aprites likumā ir par komiteju.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piegādātāja uzņēmuma, tā īpašnieku, patiesā labuma guvēju un uzņēmuma veiktspējai būtisku darbinieku valstiskā piederība;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Komerclikuma 18. pantu termins "uzņēmums" apzīmē organizatoriski saimniecisku vienību un nevis komercdarbības vai saimnieciskās darbības subjektu. Ņemot vērā minēto, lūdzam izvērtēt un nepieciešamības gadījumā precizēt likumprojektu, termina "uzņēmums" vietā izmantojot terminu "komersants", savukārt termina "uzņēmējdarbība vietā" - terminu "komercdarbība".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piegādātāja uzņēmuma īpašnieku, patiesā labuma guvēju un uzņēmuma veiktspējai būtisku darbinieku identificēšanu;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likumprojekta 6. panta pirmās daļas 1. punktu ar 7. panta trešās daļas 1. punktu, ņemot vērā, ka 6. panta pirmās daļas 1. punktā runa ir arī par piegādātāja uzņēmumu.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Aizsardzības ministrijas Piegādes drošības komisija var identificēt un piegādātāja uzņēmumam izvirzīt citas piegādes drošību veicinošas prasības, ciktāl tās nav pretrunā ar šajā vai citos likumos noteikto, kā arī Latvijas Republikai saistošām starptautisko tiesību normām.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7. panta otrā daļa paredz, ka Aizsardzības ministrijas Piegādes drošības komisijas noteiktās piegādes drošību veicinošas prasības šī likuma 5. panta otrajai daļai atbilstošiem aizsardzības nozares nodrošinājuma projektu ietvaros veiktām iepirkuma procedūrām izvirza aizsardzības nozares struktūrvienība – pasūtītājs. Attiecīgi no likumprojekta 7. panta ceturtās daļas nav skaidri saprotams, vai piegādes drošības veicinošās prasības var izvirzīt arī Aizsardzības ministrijas Piegādes drošības komisija (kas kontrolē izvirzītās prasības), nevis pasūtītājs. Attiecīgi lūdzam precizēt likumprojektu vai sniegt atbilstošu skaidrojumu par minēto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Piegādes drošības nodrošināšanai valsts Aizsardzības ministrijas personā iegūst līdzdalību esošā kapitālsabiedrībā vai dibina jaunu kapitālsabiedrību. Ciktāl šāda kapitālsabiedrība īsteno piegādes drošības veicināšanas un nodrošināšanas uzdevumus, uzskatāms, ka tā sniedz pakalpojumus un veic atsevišķu materiāltehnisko līdzekļu piegādes, kas ir stratēģiski svarīgi valsts drošībai.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izslēgt vai precizēt likumprojekta 7. panta piekto daļu, ņemot vērā, ka attiecīgā norma ir deklaratīva un dublē (skaidro) Valsts pārvaldes iekārtas likuma prasības un to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Aizsardzības ministrija piegādes drošības veicināšanai var veidot stratēģiskās partnerības, slēdzot stratēģiskās partnerības līgumus ar komersantiem (kapitālsabiedrībām), kuriem ir izsniegta speciālā atļauja (licence) komercdarbībai ar stratēģiskās nozīmes precēm vai militārā ražotāja sertifikāts. Stratēģiskās partnerības līguma noslēgšanai ir nepieciešama Ministru kabineta atļauja.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8. panta pirmo daļu (attiecībā uz vārdiem "komersantiem (kapitālsabiedrībām)") un 13. panta pirmās daļas 4. punktu (attiecībā uz vārdiem "nodot lietošanā (iznomāt)"), ievērojot, ka iekavās ietvertais teksts ir būtisks tiesību normas piemērošanā un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Aizsardzības ministrija piegādes drošības veicināšanai var veidot stratēģiskās partnerības, slēdzot stratēģiskās partnerības līgumus ar komersantiem (kapitālsabiedrībām), kuriem ir izsniegta speciālā atļauja (licence) komercdarbībai ar stratēģiskās nozīmes precēm vai militārā ražotāja sertifikāts. Stratēģiskās partnerības līguma noslēgšanai ir nepieciešama Ministru kabineta atļauja.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pretēji likumprojekta anotācijā minētajam likumprojektā nav skaidrots termins "stratēģiskais partneris", turklāt no likumprojekta 1. panta 1. un 7. punkta, kā arī 8. panta pirmās daļas u.c. vienībām skaidri neizriet tiesību subjekti, kuri var būt stratēģiskie partneri - komersanti, daļa no komersantiem (proti, kapitālsabiedrības) vai komersanti un zinātniskās institūcijas. Attiecīgi lūdzam atbilstoši precizēt likumprojektu un sniegt atbilstošu skaidrojumu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ietvara materiāltehnisko līdzekļu vai pakalpojumu piegādi nepārprotami ietekmē vismaz 10 no šī likuma 6. panta pirmajā daļā identificētajiem piegādes drošības ietekmes faktoriem;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8. panta trešās daļas 3. punktā izslēgt vārdu "nepārprotami" vai skaidrot likumprojektā vai tā anotācijā, kādos gadījumos ietekme varētu būt nepārprotama, ņemot vērā, ka norāde uz nepārprotamu ietekmi ir subjektīva un varētu būt apgrūtinoši piemērojama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citus nosacījumus, kuri Aizsardzības ministrijas Piegādes drošības komisijas ieskatā veicina stratēģiskās partnerības ietvara materiāltehnisko līdzekļu vai pakalpojumu piegādes drošību un nodrošina publiskas personas finanšu līdzekļu un mantas lietderīgu izmantošanu, ciktāl tie nav pretrunā ar šajā vai citos likumos, kā arī Latvijas Republikai saistošās starptautisko tiesību normās noteikto aizsardzības un drošības iepirkumu jomā, un to iekļaušanai stratēģiskās partnerības līgumā ir saņemta Ministru kabineta atļauja.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 panta ceturtās daļas 11. punktā nepieciešams izslēgt vārdus “un to iekļaušanai stratēģiskās partnerības līgumā ir saņemta Ministru kabineta atļauja”. Vēršam uzmanību, ka projekta 8. panta pirmā daļa paredz Ministru kabineta atļauju stratēģiskās partnerības līguma noslēgšanai. Ministru kabineta gribas īstenošanai esošais regulējums ir pietiekams un papildu Ministru kabineta atļaujas paredzēšana dažādu nosacījumu iekļaušanai šajā līgumā ir nelietderīga un birokrātiska procedūra. Atbildība par līguma projekta sagatavošanu būs Aizsardzības ministrijas kompetencē.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Aizsardzības ministrijas Piegādes drošības komisija lemj par nepieciešamību prasīt Ministru kabineta atļauju, stratēģiskās partnerības ietvara materiāltehnisko līdzekļu piegādes vai pakalpojuma līgumiem piemērojot Aizsardzības un drošības jomas iepirkuma likuma 4. panta piektajā daļā paredzēto Aizsardzības un drošības jomas iepirkuma likuma piemērošanas izņēmumu.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 panta piekto daļu nepieciešams izvērtēt un precizēt atbilstoši Valsts pārvaldes iekārtas likuma 10.pantā noteiktajam tiesiskuma principam. Vēršam uzmanību, ka projektā precīzi jānosaka gadījumi, kad Aizsardzības ministrija vērsīsies Ministru kabinetā, lai saņemtu atļauju noteiktai darbībai, nevis kad Aizsardzības ministrijas struktūrvienība pēc savas iniciatīvas lems par atļaujas prasīšanu.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Stratēģiskais partneris ne retāk kā reizi 12 mēnešos rakstveidā informē Aizsardzības ministriju par visiem stratēģiskās partnerības ietvara materiāltehnisko līdzekļu ražošanas un piegādes vai pakalpojumu līgumu izpildē iesaistītiem būtiskiem infrastruktūras objektiem, ražošanas līdzekļiem, citu būtisku materiāltehnisku nodrošinājumu, kā arī iepriekšminēto līgumu izpildē nodarbinātiem (kapitālsabiedrības veiktspējai būtiskiem) darbiniekiem.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likumprojektā vai tā anotācijā skaidrot, kas ir </w:t>
            </w:r>
            <w:r w:rsidR="00000000" w:rsidRPr="00000000" w:rsidDel="00000000">
              <w:rPr>
                <w:u w:val="single"/>
                <w:rtl w:val="0"/>
              </w:rPr>
              <w:t xml:space="preserve">būtiski</w:t>
            </w:r>
            <w:r w:rsidR="00000000" w:rsidRPr="00000000" w:rsidDel="00000000">
              <w:rPr>
                <w:rtl w:val="0"/>
              </w:rPr>
              <w:t xml:space="preserve"> infrastruktūras objekti, kapitālsabiedrības veiktspējai </w:t>
            </w:r>
            <w:r w:rsidR="00000000" w:rsidRPr="00000000" w:rsidDel="00000000">
              <w:rPr>
                <w:u w:val="single"/>
                <w:rtl w:val="0"/>
              </w:rPr>
              <w:t xml:space="preserve">būtiski</w:t>
            </w:r>
            <w:r w:rsidR="00000000" w:rsidRPr="00000000" w:rsidDel="00000000">
              <w:rPr>
                <w:rtl w:val="0"/>
              </w:rPr>
              <w:t xml:space="preserve"> nodarbinātie darbinieki u.tml., nepieciešamības gadījumā piemērveidā norādot, kādos gadījumos konstatējums attiecīgs to būtiskums.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izvērtējot atbilstoši šī likuma 8. panta astotajai daļai saņemto informāciju Aizsardzības ministrija konstatē, ka apdraudējumu stratēģiskās partnerības līguma un stratēģiskās partnerības ietvara materiāltehnisko līdzekļu piegādes vai pakalpojumu līgumu izpildei nav iespējams novērst attiecīgā stratēģiskās partnerības līguma ietvaros, Aizsardzības ministrija Publiskas personas kapitāla daļu un kapitālsabiedrību pārvaldības likumā noteiktā kārtībā iesniedz izskatīšanai Ministru kabinetā izvērtējumu un noteikumu projektu par Aizsardzības ministrijas līdzdalības iegūšanu vai izšķirošas ietekmes iegūšanu stratēģiskā partnera kapitālsabiedrībā.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kapitāla daļu un kapitālsabiedrību pārvaldības likums neparedz kārtību, kādā iesniedz izskatīšanai Ministru kabinetā izvērtējumu un noteikumu projektu, kādēļ lūdzam atbilstoši precizēt likumprojekta 8. panta devītajā daļā ietverto atsauci, nodrošinot skaidras tiesību normas. Papildus lūdzam minētajā likumprojekta daļā nedublēt Valsts pārvaldes iekārtas likuma 88. pantā ietverto regulējumu, kā arī atbilstoši būtiskuma principam lūdzam likumprojektā neietvert regulējumu par Ministru kabineta noteikumu pieņemšanas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stratēģiskais partneris vai Aizsardzības ministrija konstatē stratēģiskā partnera kapitālsabiedrības atbilstību kādai no šī likuma 8. panta astotās daļas pazīmēm, stratēģiskajam partnerim ir pienākums pieprasīt un saņemt Aizsardzības ministrijas saskaņojumu visiem stratēģiskā partnera kapitālsabiedrības darījumiem ar stratēģiskā partnera uzņēmuma mantu vai finanšu līdzekļiem, kuru ietvara vērtība pārsniedz 10 tūkstošus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8. panta desmitās daļas (arī citās likumprojekta vienībās norādīts uz stratēģiskā partnera kapitālsabiedrībām, kā arī stratēģiskā partnera uzņēmumiem) un tā anotācijas nav skaidri saprotams, kas ir stratēģiskā partnera kapitālsabiedrības (t.i., vai tās ir saistītās kapitālsabiedrības vai tas ir pats stratēģiskais partneris), ņemot vērā, ka kapitālsabiedrības ir tiesību subjekts, nevis objekts. Attiecīgi lūdzam atbilstoši precizēt likumprojektu un sniegt atbilstošu skaidrojumu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prasība pieprasīt un saņemt Aizsardzības ministrijas saskaņojumu stratēģiskā partnera kapitālsabiedrības darījumiem vērtējama kā stratēģiskā partnera līguma brīvības principa (pamattiesību uz īpašumu) ierobežojums, kādēļ lūdzam likumprojekta anotācijā skaidrot attiecīgā ierobežojuma būtību (arī to, vai konkrētā prasība ir likumisks vai līgumisks (stratēģiskās partnerības līguma ietvaros) ierobežojums), leģitīmo mērķi un 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industrijas attīstības atbalsta programmu, pētniecības un izstrādes projektu, aizsardzības inovāciju pasākumu un citu ar aizsardzības industrijas attīstības atbalstu saistītu mehānismu finansēšanai var izveidot Aizsardzības industrijas attīstības atbalsta fondu. Šāda Aizsardzības industrijas attīstības atbalsta fonda pārvaldīšanas kārtību, kā arī nosacījumus, apmērus un kārtību Aizsardzības ministrijas līdzdalības iegūšanai fondā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varas dalīšanas principam lūdzam izslēgt vai precizēt likumprojekta 10. panta trešajā daļā ietverto pilnvarojumu Ministru kabinetam noteikt nosacījumus, apmērus un kārtību Aizsardzības ministrijas līdzdalības iegūšanai fondā. Norādām, ka regulējums par līdzdalības nosacījumiem un kārtību kapitālsabiedrībās, nevis fondā (kas būtībā ir darbību vai pasākumu kopums, nevis tiesību subjekts), ietverts Valsts pārvaldes iekārtas likumā un ar Ministru kabineta noteikumiem nebūtu pieļaujams paredzēt no minētā likuma atšķirīgus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industrijas attīstības atbalsta programmu, pētniecības un izstrādes projektu, aizsardzības inovāciju pasākumu un citu ar aizsardzības industrijas attīstības atbalstu saistītu mehānismu finansēšanai var izveidot Aizsardzības industrijas attīstības atbalsta fondu. Šāda Aizsardzības industrijas attīstības atbalsta fonda pārvaldīšanas kārtību, kā arī nosacījumus, apmērus un kārtību Aizsardzības ministrijas līdzdalības iegūšanai fondā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sekretāru sanāksmes 2020. gada 9. janvāra sēdē Tieslietu ministrijai doto uzdevumu (prot. Nr. 2 14. § 2. punkts [</w:t>
            </w:r>
            <w:r w:rsidR="00000000" w:rsidRPr="00000000" w:rsidDel="00000000">
              <w:rPr>
                <w:vertAlign w:val="superscript"/>
                <w:rtl w:val="0"/>
              </w:rPr>
              <w:t xml:space="preserve">1</w:t>
            </w:r>
            <w:r w:rsidR="00000000" w:rsidRPr="00000000" w:rsidDel="00000000">
              <w:rPr>
                <w:rtl w:val="0"/>
              </w:rPr>
              <w:t xml:space="preserve">]), lūdzam, ņemot vērā Ministru kabineta iekārtas likuma 31. panta pirmās daļas 1. punktu, Administratīvā procesa likuma 11. pantu un Satversmes tiesas judikatūru, izvērtēt likumprojekta 10. panta trešajā un ceturtajā daļā ietvertā pilnvarojuma atbilstību tiesību akta saturam, kuru paredzēts izdot uz šā pilnvarojuma pamata. Tai skaitā vēršam uzmanību, ka likumprojekta 10. panta trešajā daļā minētais pilnvarojums paredz noteikt “Aizsardzības industrijas attīstības atbalsta fonda pārvaldīšanas kārtību”. 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vertAlign w:val="superscript"/>
                <w:rtl w:val="0"/>
              </w:rPr>
              <w:t xml:space="preserve">2</w:t>
            </w:r>
            <w:r w:rsidR="00000000" w:rsidRPr="00000000" w:rsidDel="00000000">
              <w:rPr>
                <w:rtl w:val="0"/>
              </w:rPr>
              <w:t xml:space="preserve">] Ja tiesību normā jēdziens "kārtība" nav izmantots, tad pilnvarojums ir atšķirīgs un aptver ne tikai tiesības regulēt darbību procesuālo aspektu.[</w:t>
            </w:r>
            <w:r w:rsidR="00000000" w:rsidRPr="00000000" w:rsidDel="00000000">
              <w:rPr>
                <w:vertAlign w:val="superscript"/>
                <w:rtl w:val="0"/>
              </w:rPr>
              <w:t xml:space="preserve">3</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nepieciešamības gadījumā precizēt vai papildināt likumprojektā ietvertos pilnvarojumus.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http://tap.mk.gov.lv/mk/vsssanaksmes/saraksts/protokols/?protokols=2020-01-09</w:t>
            </w:r>
            <w:r w:rsidR="00000000" w:rsidRPr="00000000" w:rsidDel="00000000">
              <w:rPr>
                <w:vertAlign w:val="superscript"/>
                <w:rtl w:val="0"/>
              </w:rPr>
              <w:t xml:space="preserve">[2] Satversmes tiesas 2011. gada 6. maija spriedums lietā Nr. 2010-57-03, 13.3. apakšpunkts.</w:t>
            </w:r>
            <w:r w:rsidR="00000000" w:rsidRPr="00000000" w:rsidDel="00000000">
              <w:rPr>
                <w:vertAlign w:val="superscript"/>
                <w:rtl w:val="0"/>
              </w:rPr>
              <w:t xml:space="preserve">[3] Satversmes tiesas 2016. gada 2. marta spriedums lietā Nr. 2015-11-03, 23.3.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industrijas attīstības atbalsta programmu, pētniecības un izstrādes projektu, aizsardzības inovāciju pasākumu un citu ar aizsardzības industrijas attīstības atbalstu saistītu mehānismu finansēšanai var izveidot Aizsardzības industrijas attīstības atbalsta fondu. Šāda Aizsardzības industrijas attīstības atbalsta fonda pārvaldīšanas kārtību, kā arī nosacījumus, apmērus un kārtību Aizsardzības ministrijas līdzdalības iegūšanai fondā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10. panta trešajā daļā skaidri norādīt, vai  Aizsardzības industrijas attīstības atbalsta fonds tiks izveidots (formulējot atbilstošu uzdevumu "izveido"), vai likumprojektā vai tā anotācijā skaidrot apstākļus, kādos minēto fondu varētu izveidot,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kārtību, kādā Aizsardzības ministrija īsteno projektu konkursus militāru vai divējāda lietojuma produktu attīstības atbalstam, nosakot: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10. panta ceturtā daļa paredz jaunu regulējumu – pilnvarojumu Ministru kabinetam noteikumu izdošanai par projektu konkursiem militāru vai divējāda lietojuma produktu attīstības atbalstam. Vēršam uzmanību, ka šādu regulējumu var interpretēt kā Aizsardzības un drošības jomas iepirkumu likuma 1. panta 13. punktā paredzētos pētniecības un izstrādes iepirkumus, par ko šajā likumā ir pietiekami izvērsts regulējums. Valsts pārvaldes darbības organizācijas tiesību sistēmā nebūtu pieļaujama šāda paralēla tiesiskā regulējuma veidošana, jo īpaši, Ministru kabineta noteikumu līmeni, kas būs pretrunā iepirkumu likumā noteiktam regulējumam.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Aizsardzības nozares struktūrvienību vai Aizsardzības ministrijas līdzdalības kapitālsabiedrību patstāvīgi realizētus fundamentālos un lietišķos pētījumu projektus, kuru ietvaros tiek izmantotas (radītas) stratēģiskas nozīmes preces, vai izmantota (radīta) tāda informācija, kuras izpaušana var radīt kaitējumu valsts drošībai, Aizsardzības ministrija finansē no tai piešķirtajiem valsts budžeta līdzekļiem, nepiemērojot Zinātniskās darbības likumā noteiktās prasības zinātniskās darbības finansēšanai.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likumprojekta 10. panta piektajā daļā identificēt konkrētās prasības, kuras netiek piemērotas, norādot konkrētas attiecīgā likuma vienības vai skaidrojot tās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Aizsardzības nozares struktūrvienību vai Aizsardzības ministrijas līdzdalības kapitālsabiedrību patstāvīgi realizētus fundamentālos un lietišķos pētījumu projektus, kuru ietvaros tiek izmantotas (radītas) stratēģiskas nozīmes preces, vai izmantota (radīta) tāda informācija, kuras izpaušana var radīt kaitējumu valsts drošībai, Aizsardzības ministrija finansē no tai piešķirtajiem valsts budžeta līdzekļiem, nepiemērojot Zinātniskās darbības likumā noteiktās prasības zinātniskās darbības finansēšanai.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 likumprojekta 10. panta piektās daļas un tā anotācijas neizriet pienācīgs pamatojums izņēmuma noteikšanai no Zinātniskās darbības likumā noteiktajām prasībām, kādēļ lūdzam sniegt atbilstošu skaidrojumu likumprojekta anotācijā vai atbilstoši precizēt likumprojektu. Norādām, ka valsts budžeta līdzekļus zinātniskajai darbībai atbilstoši minētajam likumam var piešķirt zinātnisko institūciju reģistrā reģistrētajām institūcijām - zinātniskām institūcijām, kas cita starpā var būt arī komercsabiedrības, kādēļ nav saskatāmi šķēršļi attiecīgām kapitālsabiedrībām, izpildot noteiktus nosacījumus, saņemt valsts budžeta līdzekļus. Kā arī likumprojekta anotācijā nav skaidroti apstākļi, kādēļ Zinātniskās darbības likumā noteiktas attiecīgās prasības un kādēļ ir tiesiski pamatoti paredzēt attiecīgu izņēmumu no tām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Īstenojot šajā likumā minētos pasākumus un aizsardzības industrijas attīstības atbalsta mehānismus, kuri atbilst Komercdarbības atbalsta kontroles likuma 5. pantā noteiktajām pazīmēm, tiek ievērotas komercdarbības atbalsta kontroles regulējuma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108 3.1. apakšpunktu lūdzam izslēgt likumprojekta 10. panta sesto daļu, jo attiecīgā norma ir deklaratīva un pēc būtības dublē Komercdarbības atbalsta kontroles likuma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pārstāvi dalībai Ziemeļatlantijas līguma organizācijas (NATO) Industriāli konsultatīvajā darba grupā var izvirzīt personu, kura atbilst likumā “Par valsts noslēpumu” noteiktajām prasībām, lai saņemtu speciālo atļauju pieejai valsts noslēpumam. Ja nepieciešams, aizsardzības industrijas nevalstiskās organizācijas pārstāvim, kas izvirzīts sadarbībai ar Aizsardzības ministriju, arī jāsaņem speciālā atļauja pieejai valsts noslēpumam, atbilstoši likumā “Par valsts noslēpumu” noteiktajai kārtībai.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11. panta otrās daļas skaidri neizriet, vai ar Industriāli konsultatīvo darba grupu saprotama likumprojekta 11. panta pirmajā daļā minētā Industrijas padomnieku grupa. Nepieciešamības gadījumā lūdzam atbilstoši precizēt likumprojekta 11. panta otro daļu, nodrošinot konsekventu terminoloģiju un skaidras personai izvirzītas prasības, lai to izvirzītu Industrijas padomnieku grupā. Alternatīvi lūdzam sniegt atbilstošu detalizētu skaidrojumu par minēto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industrijas pienākums savā darbībā ir ievērot aizsardzības nozares izvirzītās darbības drošības prasības. Šādu prasību nepilnīga izpilde vai to apzināta neievērošana var būt par pamatu aizsardzības nozares sadarbības ierobežošanai vai pārtraukšanai ar attiecīgo aizsardzības industrijas pārstāvi šajā likumā un citos aizsardzības industrijas darbības drošību reglamentējošo normatīvos noteiktā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12. panta trešo daļu izteikt atbilstoši juridiskās tehnikas prasībām, norādot tiesību subjektu (-s), kurš (-i) var pārtraukt vai ierobežot sadarbību ar aizsardzības industrijas pārstāvi, kā arī skaidrāk formulējot priekšnoteikumus sadarbības ierobežošanai vai pārtraukšanai (šobrīd, piemēram, nav skaidri saprotams vai nepilnīgai izpildei jābūt apzinātai, vai nepilnīga izpilde ietver sevī arī neizpildi u.tml., kādēļ ierosinām nenorādīt uz apziņas formu - apzināti, kā arī norādīt uz neizpildi vai nepienācīgu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izveidot, un, uz laika periodu, kas nepārsniedz 3 gadus, nodot lietošanā (iznomāt) specializētu aizsardzības nozares infrastruktūru tādai komercsabiedrībai, kura ir saņēmusi Aizsardzības ministrijas izsniegtu speciālo atļauju (licenci) komercdarbībai ar stratēģiskas nozīmes precēm vai militārā ražotāja sertifikātu, ja attiecīgā infrastruktūra nepieciešama komersanta pirmreizējā izstrādē, testēšanā vai ražošanā esošu un militārām vajadzībām izstrādātu vai pielāgotu produktu (tai skaitā – to būtisku sastāvdaļu vai prototipu) attīstībai un uzglabāšanai, vai arī ar šādu produktu izstrādi saistītas ierobežotas pieejamības informācijas vai valsts noslēpumu saturošas informācijas apstrādei un aizsardzībai;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likumprojektā lietoto terminoloģiju attiecībā uz tiesību subjektiem, kuri var saņemt Aizsardzības ministrijas izsniegtu speciālo atļauju (licenci) komercdarbībai ar stratēģiskas nozīmes precēm vai militārā ražotāja sertifikātu, jo šobrīd nav skaidrs, vai tās ir komercsabiedrības (kapitālsabiedrības) vai komersanti (kas var būt arī fiziskas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Šī panta pirmās daļas 4. un 5. punktā norādīto aizsardzības industrijas drošības veicināšanas pasākumu izmaksas par aizsardzības nozares valdījumā esošas mantas izmantošanu sedz attiecīgais aizsardzības industrijas komersants, atbilstoši Aizsardzības ministrijas izstrādātam cenrādim.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59. punktam lūdzam likumprojektā un tā anotācijā skaidrot, kādā ārējā normatīvajā aktā ietverts Aizsardzības ministrijas izstrādātais cenrādis, vai alternatīvi lūdzam izslēgt likumprojekta 13. panta otrajā daļā ietverto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 aizsardzības industrijas darbības un sabiedrības drošības veicināšanai var atsavināt tādu nacionālās aizsardzības industrijas komersantu militārām vajadzībām īpaši izstrādātu vai pielāgotu produktu prototipus (tai skaitā – to būtiskas sastāvdaļas), kurus tehnisku apsvērumu dēļ nav iespējams sertificēt kā pilnvērtīgai lietošanai gatavu produkciju.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anotācijā norādīts uz objektīviem apsvērumiem, nevis tehiskiem apsvērumiem, kas ir pamats tam, ka nav iespējams sertificēt produktu prototipus. Papildus vēršam uzmanību, ka Aizsardzības ministrija nevar atsavināt komersantam piederošu īpašumu, bet var vienīgi vienoties ar komersantu par tā atsavināšanu. Attiecīgi lūdzam atbilstoši precizēt likumprojekta 13. panta trešo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 aizsardzības industrijas darbības un sabiedrības drošības veicināšanai var atsavināt tādu nacionālās aizsardzības industrijas komersantu militārām vajadzībām īpaši izstrādātu vai pielāgotu produktu prototipus (tai skaitā – to būtiskas sastāvdaļas), kurus tehnisku apsvērumu dēļ nav iespējams sertificēt kā pilnvērtīgai lietošanai gatavu produkciju.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aizsardzības industrijas darbības veicināšana nav likumprojekta 2. pantā ietvertais mērķis, līdz ar ko aizsardzības industrijas darbību veicināšana nevarētu būt pamatojums valstij iegādāties produktu prototipus (tai skaitā – to būtiskas sastāvdaļas), kurus tehnisku apsvērumu dēļ nav iespējams sertificēt kā pilnvērtīgai lietošanai gatavu produkciju (kas ir saistīts ar komercdarbības risku), kādēļ lūdzam atbilstoši precizēt likumprojekta 13.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paužam bažas, ka likumprojekta anotācijā ietvertais skaidrojums par mērķiem, kādos minētie prototipi iegādājami, atšķiras no likumprojekta 13. panta trešās daļas, kādēļ nepieciešams salāgot minēto daļu ar likumprojekta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Šī panta trešajai daļai atbilstošu materiāltehnisko līdzekļu atsavināšana notiek labprātīgi, Aizsardzības ministrijai un attiecīgajam aizsardzības industrijas komersantam vienojoties par taisnīgu atlīdzību. Taisnīgas atlīdzības apmēru nosaka Aizsardzības ministrijas izveidota komisija, balstoties uz dokumentāli pamatotu informāciju par faktiskiem komersanta ieguldījumiem attiecīgā prototipa (tā būtisku sastāvdaļu) izstrādē un tam pielīdzināmu (ekvivalentu) risinājumu tirgus cenu.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13. panta trešajā un ceturtajā daļā esošais regulējums nav pietiekami saprotams. Vēršam uzmanību, valsts pārvaldē atsavināšana ir publiskas personas mantas pārdošana, mainīšana, ieguldīšana kapitālsabiedrībā un nodošana bez atlīdzības, kā rezultātā īpašuma tiesības no mantas atsavinātāja pāriet mantas ieguvējam. To nosaka Publiskas personas mantas atsavināšanas likums un būtisks atsavināšanas nosacījums ir mantas piederība publiskai personai, šai gadījumā valstij, kas nodota Aizsardzības ministrijas valdījumā. Tādējādi ir apšaubāmi projekta 13. panta trešajā un ceturtajā daļā paredzētās darbības saukt par atsavināšanu, jo regulējumu var interpretēt, ka Aizsardzības ministrija apmaksā aizsardzības industrijas pārstāvja izstrādāta produkta izgatavošanas izmaksas. Tieslietu ministrijas ieskatā darbu apmaksai ir jānotiek iepirkuma procedūrā.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nesatur likumprojekta spēkā stāšanās noteikumu, lūdzam precizēt likumprojekta anotācijā norādīto informāciju par likumprojekta stāšanos spēkā nākamajā dienā pēc izsludināšanas.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(turpmāk - noteikumi Nr. 617) 9.19. apakšpunktu, lūdzam likumprojekta anotācijas 4. sadaļu papildināt ar skaidrojumu par minētajā sadaļā norādīto grozījumu būtību un nepieciešamību. Kā arī lūdzam likumprojekta anotācijas 4. sadaļā skaidrot likumprojekta 10. panta trešajā un ceturtajā daļā ietvertā pilnvarojuma būtību un nepieciešamību. T.i., lūdzam visupirms izvērtēt, vai attiecīgs pilnvarojums vispār ir vajadzīgs un vai nepieciešamo regulējumu nevar ietvert pašā likuma tekstā. Savukārt, ja tiek nolemts izstrādāt jaunus Ministru kabineta noteikumus, lūdzam likumprojekta anotācijas 4. sadaļā skaidrot pamatojumu šādai izvēlei, kā arī aprakstīt jauno Ministru kabineta noteikumu saturisko ietvaru, tādējadi nodrošinot, ka vēlāk, izstrādājot Ministru kabineta noteikumu projektu, nepieciešamās lietas ir iespējams iekļaut projektā, jo to paredz deleģējuma saturiskais tvērums, kā arī deleģējumu vēlāk ir iespējams izpildīt, jo regulējamo jautājumu loks nav formulēts pārāk plaši.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617 9.1. apakšpunktu, lūdzam skaidrot visu būtisko izmaiņu likumprojektā iepretim spēkā esošajam regulējumam nepieciešamību un mērķi, tai skaitā arī iepretim Mobilizācijas likuma 9. panta 14. punktam likumprojekta 10. panta ceturtajā daļā neparedzot projektiem ierobežojumu attiecībā uz atbalsta veidu (grantiem)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vairākos gadījumos ietvertas norādes uz starptautisko saistību izpildi un starptautisko tiesību normām, tāpat arī likumprojekts paredz prasības un izvirzīšanas kārtību Ziemeļatlantijas līguma organizācijas institūcijās. Ievērojot minēto un pamatojoties uz noteikumu Nr. 617 9.19. apakšpunktu, lūdzam izvērtēt un papildināt likumprojekta anotācijas 5. sadaļu ar informāciju par attiecīgo starptautisko tiesību aktu vai starptautiskas institūcijas vai organizācijas dokumentu, kurā noteiktās saistības ar likumprojektu izpilda Latvijas Republika, šo saistību būtību un konkrētus veicamos pasākumus vai uzdevumus, kas nepieciešami šo saistību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likumprojekts paredz regulējumu par Līguma par Eiropas Savienības darbību 346. panta prasību izpildi (ieviešanu), kā arī likumprojekta 8. panta piektajā daļā ietverts skaidrojums par Aizsardzības un drošības jomas iepirkuma likuma 4. panta piektās daļas piemērošanu, ar kuru ir pārņemtas Eiropas Parlamenta un Padomes 2009. gada 13. jūlija direktīvas 2009/81/EK, ar kuru koordinē procedūras attiecībā uz to, kā līgumslēdzējas iestādes vai subjekti, kas darbojas drošības un aizsardzības jomā, piešķir noteiktu būvdarbu, piegādes un pakalpojumu līgumu slēgšanas tiesības, un ar kuru groza direktīvas 2004/17/EK un 2004/18/EK, prasības, lūdzam izvērtēt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likumprojekta anotācijas 5. sadaļu ar skaidrojumu par minētā līguma 346. panta prasību ieviešanu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vai ar likumprojektu paredzēts pārņemt attiecīgās direktīvas prasības, šādā gadījumā aizpildot likumprojekta anotācijas 5. sadaļu ar informāciju par minētās direktīvas prasību pārņemšanu (likumprojektā ietverot arī attiecīgu informatīvo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aizsardzības nozares nodrošinājuma projekts</w:t>
            </w:r>
            <w:r w:rsidR="00000000" w:rsidRPr="00000000" w:rsidDel="00000000">
              <w:rPr>
                <w:rtl w:val="0"/>
              </w:rPr>
              <w:t xml:space="preserve"> – ar noteiktas Nacionālo bruņoto spēku spējas attīstībai nepieciešamu materiāltehnisko līdzekļu, infrastruktūras un/vai pakalpojumu mērķtiecīgu izpēti, iegādi, ieviešanu, uzturēšanu un modernizēšanu saistītu pasākumu kopums;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 panta 6. punktā un 8. panta otrās daļas 1. punktā simbolu "/" aizstāt ar saikli "un" vai saikli "vai", jo no likumprojekta nav skaidrs, vai ar simbolu "/" tiek saprasts saiklis "un" vai saiklis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Piegādes drošības ietekmes faktoru izvērtēšana, kā arī piegādes drošību veicinošu prasību noteikšana un izvirzīšana ir prasība aizsardzības nozares nodrošinājuma projektos, kuru kopējā prognozējamā summa visā to aprites ciklā pārsniedz 5 miljonus </w:t>
            </w:r>
            <w:r w:rsidR="00000000" w:rsidRPr="00000000" w:rsidDel="00000000">
              <w:rPr>
                <w:i w:val="1"/>
                <w:rtl w:val="0"/>
              </w:rPr>
              <w:t xml:space="preserve">euro</w:t>
            </w:r>
            <w:r w:rsidR="00000000" w:rsidRPr="00000000" w:rsidDel="00000000">
              <w:rPr>
                <w:rtl w:val="0"/>
              </w:rPr>
              <w:t xml:space="preserve"> vai kuru ietvara materiāltehnisko līdzekļu vai pakalpojumu sagaidāmais aprites cikls pārsniedz 5 gadus.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likumprojekta 5. panta otrajā daļā un 8. panta trešās daļas 1. punktā lietoto terminoloģiju, ciktāl runa ir par projektu kopējo prognozējamo summu vai kopējo sagaidāmo vērtību. Alternatīvi lūdzam likumprojekta anotācijā skaidrot atšķirīgo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industrijas attīstības atbalsta organizācijai nepieciešamo normatīvu izstrādi;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likumprojektu un, ciktāl tiek runāts par normatīvo aktu (juridisku dokumentu) izstrādi, aizstāt vārdu "izstrāde" (attiecīgā locījumā) ar vārdu "sagatavošana" (attiecīgā locījumā), tādējādi ievērojot juridiski korektu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veicinot privāto tiesību fizisko vai juridisko personu līdzfinansējuma un investīciju piesaisti inovatīvu militāra vai divējāda lietojuma tehnoloģiju un produktu attīstības atbalstam.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nepastāv attiecīgs fizisko personu nošķīrums, lūdzam likumprojekta 10. panta pirmās daļas 7. punktā vārdus "privāto tiesību" ietvert pirms vārdiem "juridisko personu", nevis pirms vārda "fizisko".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Aizsardzības nozares struktūrvienību vai Aizsardzības ministrijas līdzdalības kapitālsabiedrību patstāvīgi realizētus fundamentālos un lietišķos pētījumu projektus, kuru ietvaros tiek izmantotas (radītas) stratēģiskas nozīmes preces, vai izmantota (radīta) tāda informācija, kuras izpaušana var radīt kaitējumu valsts drošībai, Aizsardzības ministrija finansē no tai piešķirtajiem valsts budžeta līdzekļiem, nepiemērojot Zinātniskās darbības likumā noteiktās prasības zinātniskās darbības finansēšanai.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līdzdalību kapitālsabiedrībā var iegūt publiska persona - Latvijas Republika, nevis Aizsardzības ministrija (iestāde), kādēļ lūdzam atbilstoši precizēt likumprojektu, salāgojot to ar Valsts pārvaldes iekārtas likuma 88. pantā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22-TA-2217</w:t>
    </w:r>
    <w:r>
      <w:br/>
    </w:r>
    <w:r w:rsidR="00000000" w:rsidRPr="00000000" w:rsidDel="00000000">
      <w:rPr>
        <w:rtl w:val="0"/>
      </w:rPr>
      <w:t xml:space="preserve">Izdrukāts 26.10.2022. 17.43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22-TA-2217</w:t>
    </w:r>
    <w:r>
      <w:br/>
    </w:r>
    <w:r w:rsidR="00000000" w:rsidRPr="00000000" w:rsidDel="00000000">
      <w:rPr>
        <w:rtl w:val="0"/>
      </w:rPr>
      <w:t xml:space="preserve">Izdrukāts 26.10.2022. 17.43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Atzinumi_22-TA-2217.docx</dc:title>
</cp:coreProperties>
</file>

<file path=docProps/custom.xml><?xml version="1.0" encoding="utf-8"?>
<Properties xmlns="http://schemas.openxmlformats.org/officeDocument/2006/custom-properties" xmlns:vt="http://schemas.openxmlformats.org/officeDocument/2006/docPropsVTypes"/>
</file>