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Trauksmes celšanas likuma īstenošanas </w:t>
      </w:r>
      <w:r w:rsidR="00000000" w:rsidRPr="00000000" w:rsidDel="00000000">
        <w:rPr>
          <w:i w:val="1"/>
          <w:rtl w:val="0"/>
        </w:rPr>
        <w:t xml:space="preserve">ex-post </w:t>
      </w:r>
      <w:r w:rsidR="00000000" w:rsidRPr="00000000" w:rsidDel="00000000">
        <w:rPr>
          <w:rtl w:val="0"/>
        </w:rPr>
        <w:t xml:space="preserve">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vārda “triju” lūdzam papildināt ar vārdu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1.panta pirmās daļas 7.punkts: trauksmes cēlējs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būtu jāpaplašina, iekļaujot trauksmes cēlēja definīcijā arī fizisku personu, kas ziņo par pārkāpumu, nebūdama darba tiesiskās attiecībās vai nedibinot tās, jo var būt gadījumi, kad pārkāpumu nepamana vai negrib pamanīt personas, kas ir darba tiesiskās attiecībās. Tas iedrošinātu ziņot par pārkāpumiem lielāku personu loku, jo nodrošinātu normatīvajā aktā ietverto trauksmes cēlēja aizsardzību. Pie tam likumprojekta otrā panta pirmajā daļā minētais likuma mērķis nav pretrunā ar šo priekšlikumu. Vēršam uzmanību, ka ne visi trešā panta pirmajā daļā minētie pārkāpumi ir konstatējami darba tiesisko attiecību ietvaros, piemēram 2.punktā minētais. Arī piemēram 1., 5.-8., 11.-22.punktā minētos pārkāpumus var pamanīt un ziņot par tiem personas, kas neatrodas darba tiesiskajās attiecībās vai nedibina tās, bet ir attiecīgo pakalpojumu sniedzēju vai preču piegādātāju, vai publisko personu, kas veic attiecīgo procesu uzraudzību, klienti vai vienkārši personas, kas pamana pārkāpumus, nebūdamas nekādās civiltiesiskās attiecībās ar pārkāpēju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10.07.2024.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10.07.2024.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Atzinumi_24-TA-1548.docx</dc:title>
</cp:coreProperties>
</file>

<file path=docProps/custom.xml><?xml version="1.0" encoding="utf-8"?>
<Properties xmlns="http://schemas.openxmlformats.org/officeDocument/2006/custom-properties" xmlns:vt="http://schemas.openxmlformats.org/officeDocument/2006/docPropsVTypes"/>
</file>