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aprīļa noteikumos Nr. 199 "Noteikumi par dabasgāzes apriti un akcīzes nodokļa piemērošanas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kārtību, kādā piemēro un administrē likuma 15.</w:t>
            </w:r>
            <w:r w:rsidR="00000000" w:rsidRPr="00000000" w:rsidDel="00000000">
              <w:rPr>
                <w:vertAlign w:val="superscript"/>
                <w:rtl w:val="0"/>
              </w:rPr>
              <w:t xml:space="preserve">1</w:t>
            </w:r>
            <w:r w:rsidR="00000000" w:rsidRPr="00000000" w:rsidDel="00000000">
              <w:rPr>
                <w:rtl w:val="0"/>
              </w:rPr>
              <w:t xml:space="preserve"> panta pirmās daļas 4. un 5. punktā minēto nodokļa likmi par dabasgāzi un izvērtē nodokļa maksātāja atbilstību tās piemērošanai;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punktā ietvertais Noteikumu 1.7. apakšpunkts paredz, ka Noteikumi nosaka kārtību, kādā piemēro un administrē likuma "Par akcīzes nodokli" 15.</w:t>
            </w:r>
            <w:r w:rsidR="00000000" w:rsidRPr="00000000" w:rsidDel="00000000">
              <w:rPr>
                <w:vertAlign w:val="superscript"/>
                <w:rtl w:val="0"/>
              </w:rPr>
              <w:t xml:space="preserve">1</w:t>
            </w:r>
            <w:r w:rsidR="00000000" w:rsidRPr="00000000" w:rsidDel="00000000">
              <w:rPr>
                <w:rtl w:val="0"/>
              </w:rPr>
              <w:t xml:space="preserve"> panta pirmās daļas 4. un 5. punktā minēto nodokļa likmi par dabasgāzi un izvērtē nodokļa maksātāja atbilstību tās piemērošanai. Noteikumu IV nodaļa paredz akcīzes nodokļa piemērošanas dabasgāzei kārtību. Ievērojot minēto, lūdzam norādīt, ar kurām projekta normām tiek izpildīts likuma pilnvarojums noteikt kārtību, kādā administrē konkrēto nodokļa likmi un izvērtē atbilstību tās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projektu ar grozījumu Noteikumu 1.10. apakšpunktā, noformulējot to atbilstoši likuma "Par akcīzes nodokli" 15.</w:t>
            </w:r>
            <w:r w:rsidR="00000000" w:rsidRPr="00000000" w:rsidDel="00000000">
              <w:rPr>
                <w:vertAlign w:val="superscript"/>
                <w:rtl w:val="0"/>
              </w:rPr>
              <w:t xml:space="preserve">1</w:t>
            </w:r>
            <w:r w:rsidR="00000000" w:rsidRPr="00000000" w:rsidDel="00000000">
              <w:rPr>
                <w:rtl w:val="0"/>
              </w:rPr>
              <w:t xml:space="preserve"> panta ceturtajā daļā Ministru kabinetam dotajam pilnvarojumam, ievērojot Ministru kabineta 2009. gada 3. februāra noteikumu Nr. 108 "Normatīvo aktu projektu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Likuma 15.</w:t>
            </w:r>
            <w:r w:rsidR="00000000" w:rsidRPr="00000000" w:rsidDel="00000000">
              <w:rPr>
                <w:vertAlign w:val="superscript"/>
                <w:rtl w:val="0"/>
              </w:rPr>
              <w:t xml:space="preserve">1 </w:t>
            </w:r>
            <w:r w:rsidR="00000000" w:rsidRPr="00000000" w:rsidDel="00000000">
              <w:rPr>
                <w:rtl w:val="0"/>
              </w:rPr>
              <w:t xml:space="preserve">panta pirmās daļas 5. punktā noteikto nodokļa likmi piemēro dabasgāzei, kuru izmanto: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4. punktu, paredzot, ka ar to tiek svītrots Noteikumu 61. punkts, un svītrot projekta 5. un 6. punktu, ņemot vērā to, ka tajos ietvertais regulējums dublē likuma "Par akcīzes nodokli" 15.</w:t>
            </w:r>
            <w:r w:rsidR="00000000" w:rsidRPr="00000000" w:rsidDel="00000000">
              <w:rPr>
                <w:vertAlign w:val="superscript"/>
                <w:rtl w:val="0"/>
              </w:rPr>
              <w:t xml:space="preserve">1</w:t>
            </w:r>
            <w:r w:rsidR="00000000" w:rsidRPr="00000000" w:rsidDel="00000000">
              <w:rPr>
                <w:rtl w:val="0"/>
              </w:rPr>
              <w:t xml:space="preserve"> panta pirmās daļas 3., 4. un 5. punktā ietverto regulējumu. Vēršam uzmanību uz to, ka jau šobrīd Noteikumos tiek lietotas atsauces uz likuma "Par akcīzes nodokli" 15.</w:t>
            </w:r>
            <w:r w:rsidR="00000000" w:rsidRPr="00000000" w:rsidDel="00000000">
              <w:rPr>
                <w:vertAlign w:val="superscript"/>
                <w:rtl w:val="0"/>
              </w:rPr>
              <w:t xml:space="preserve">1</w:t>
            </w:r>
            <w:r w:rsidR="00000000" w:rsidRPr="00000000" w:rsidDel="00000000">
              <w:rPr>
                <w:rtl w:val="0"/>
              </w:rPr>
              <w:t xml:space="preserve"> pantā paredzētajām nodokļa likmēm, un tas nav apgrūtinājis Noteikumu uztveramību. Papildus norādām, ka projekta 4., 5. un 6. punktā ietvertajās normās ir atsauces uz likuma "Par akcīzes nodokli" 15.</w:t>
            </w:r>
            <w:r w:rsidR="00000000" w:rsidRPr="00000000" w:rsidDel="00000000">
              <w:rPr>
                <w:vertAlign w:val="superscript"/>
                <w:rtl w:val="0"/>
              </w:rPr>
              <w:t xml:space="preserve">1</w:t>
            </w:r>
            <w:r w:rsidR="00000000" w:rsidRPr="00000000" w:rsidDel="00000000">
              <w:rPr>
                <w:rtl w:val="0"/>
              </w:rPr>
              <w:t xml:space="preserve"> panta normām, savukārt citās Noteikumu normās ir atsauces uz projekta 4., 5. un 6. punktā ietvertajām normām, tādējādi šāds regulējums ir nepārskatāms, jo viena atsauce ved uz citu atsauci. Vienlaikus atkārtoti lūdzam attiecīgi precizēt projekta 12. punktā ietverto Noteikumu 66. punktu, projekta 13. punktā ietverto Noteikumu 68. punktu, projekta 14. punktā ietverto 69. punktu, projekta 30. punktā ietverto Noteikumu 74. punktu, projekta 32. punktā ietverto Noteikumu 78. punktu, projekta 33. punktā ietverto Noteikumu 78.</w:t>
            </w:r>
            <w:r w:rsidR="00000000" w:rsidRPr="00000000" w:rsidDel="00000000">
              <w:rPr>
                <w:vertAlign w:val="superscript"/>
                <w:rtl w:val="0"/>
              </w:rPr>
              <w:t xml:space="preserve">1</w:t>
            </w:r>
            <w:r w:rsidR="00000000" w:rsidRPr="00000000" w:rsidDel="00000000">
              <w:rPr>
                <w:rtl w:val="0"/>
              </w:rPr>
              <w:t xml:space="preserve"> punktu, projekta 34. punktā ietverto Noteikumu 80. punktu, projekta 35. punktā ietverto Noteikumu 83. punktu un projekta 37. punktā ietverto Noteikumu 84.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13.02.2025.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24-TA-3226</w:t>
    </w:r>
    <w:r>
      <w:br/>
    </w:r>
    <w:r w:rsidR="00000000" w:rsidRPr="00000000" w:rsidDel="00000000">
      <w:rPr>
        <w:rtl w:val="0"/>
      </w:rPr>
      <w:t xml:space="preserve">Izdrukāts 13.02.2025.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Atzinumi_24-TA-3226.docx</dc:title>
</cp:coreProperties>
</file>

<file path=docProps/custom.xml><?xml version="1.0" encoding="utf-8"?>
<Properties xmlns="http://schemas.openxmlformats.org/officeDocument/2006/custom-properties" xmlns:vt="http://schemas.openxmlformats.org/officeDocument/2006/docPropsVTypes"/>
</file>