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šo noteikumu </w:t>
            </w:r>
            <w:r w:rsidR="00000000" w:rsidRPr="00000000" w:rsidDel="00000000">
              <w:rPr>
                <w:rtl w:val="0"/>
              </w:rPr>
              <w:t xml:space="preserve">7.22.</w:t>
            </w:r>
            <w:r w:rsidR="00000000" w:rsidRPr="00000000" w:rsidDel="00000000">
              <w:rPr>
                <w:rtl w:val="0"/>
              </w:rPr>
              <w:t xml:space="preserve"> apakšpunktā noteiktos datus – 40 gadus pēc pēdējā ieraksta vai 15 gadus pēc pacienta nāves;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anotācijā nav skaidrots izvēlētā datu glabāšanas termiņa pamatojums, proti, kādēļ izvēlēts tieši 40 gadu termiņš pēc pēdējā ieraksta un 15 gadu termiņš pēc pacienta nāves. Atbilstoši Datu regulas 5. panta 1. punkta e) apakšpunktam personas dati tiek glabāti veidā, kas pieļauj datu subjektu identifikāciju, ne ilgāk kā nepieciešams nolūkiem, kādos attiecīgos personas datus apstrādā. Ievērojot minēto, aicinām papildināt noteikumu projekta anotāciju, norādot minēto glabāšanas termiņu pamatojumu, kas apliecina, ka īsāka termiņa noteikšana nav iespējama konkrēta nolūka sasniegšanai.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23-TA-402</w:t>
    </w:r>
    <w:r>
      <w:br/>
    </w:r>
    <w:r w:rsidR="00000000" w:rsidRPr="00000000" w:rsidDel="00000000">
      <w:rPr>
        <w:rtl w:val="0"/>
      </w:rPr>
      <w:t xml:space="preserve">Izdrukāts 11.07.2023. 11.25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23-TA-402</w:t>
    </w:r>
    <w:r>
      <w:br/>
    </w:r>
    <w:r w:rsidR="00000000" w:rsidRPr="00000000" w:rsidDel="00000000">
      <w:rPr>
        <w:rtl w:val="0"/>
      </w:rPr>
      <w:t xml:space="preserve">Izdrukāts 11.07.2023. 11.25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Atzinumi_23-TA-402.docx</dc:title>
</cp:coreProperties>
</file>

<file path=docProps/custom.xml><?xml version="1.0" encoding="utf-8"?>
<Properties xmlns="http://schemas.openxmlformats.org/officeDocument/2006/custom-properties" xmlns:vt="http://schemas.openxmlformats.org/officeDocument/2006/docPropsVTypes"/>
</file>