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24-TA-2008: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īsteno atbalsta pasākumus nozaru vajadzībās balstītai darba devēju darbinieku profesionālajai pilnveidei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Izdota saskaņā ar Valsts pārvaldes iekārtas likuma 72. panta pirmās daļas 2.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snigtos iebildumus, ka Instrukcija rada tiesisko nenoteiktību un lieku administratīvo slogu, jo Izglītības likuma 14.pantā jau ir paredzēts deleģējums Ministru kabinetam noteikt atbilstošu kārtību: “34) nosaka atbalsta pasākumus darba devējiem darbinieku papildu izglītošanā, tai skaitā kritērijus šāda atbalsta saņemšanai un atbalsta pasākumu īstenošanas kārtību”, nevis instrukciju.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kārtību, kādā tiek izstrādāti un saskaņoti atbalsta pasākumi darba devējiem darbinieku profesionālajai pilnveidei un papildu izglītošanai.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instrukcijas 1. punktu "instrukcija nosaka kārtību, kādā tiek izstrādāti un saskaņoti atbalsta pasākumi darba devējiem darbinieku profesionālajai pilnveidei un papildu izglītošanai", taču turpmākajos instrukcijas punktos un apakšpunktos jēdzienu lietojums ir atšķirīgs un nekonsekvents: tikai prasmju pilnveide (2.6.apakšpunkts), tikai profesionālā pilnveide (5. punkts), atkārtoti tikai prasmju pilnveide (6. punkts), prasmju iegūšana vai pilnveide, profesionālās kvalifikācijas pilnveide vai pārkvalifikācija (6.3.apakšpunkts), vispārējo vai profesionālo kompetenču attīstība un prasmju pilnveide (6.7.apakšpunkts), profesionālās pilnveides mācībās un kvalifikācijas celšanas pasākumi, kā arī darbinieku prasmes (9.3.apakšpunkts). Ievērojot to, ka katram no minētajiem izglītības jēdzieniem ir sava nozīme un īstenošanas prasības, instrukcijas tvērums attiecībā uz plānotajiem atbalsta pasākumiem mācībām paliek neskaidrs.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atbalsta pasākumi –  īstenotie pasākumi darba devēju atbalstam darbinieku mācību īstenošanai, ko sniedz visās tautsaimniecības nozarēs;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tvērums arī attiecībā uz atbalsta pasākumu veidiem nav skaidri noteikts. Saskaņā ar Instrukcijas anotācijā minēto un EM sniegto skaidrojumu, instrukcija atteiksies uz jebkuru atbalsta veidu, ne tika 'fondu projektiem'. Taču Instrukcijas 2.3. apakšpunktā ir atsauce uz projekta iesniedzējiem. Ievērojot minēto, atkārtoti lūdzam skaidrot, vai instrukcija skars jebkuru atbalsta veidu, vai tikai projektu pieejā balstīto atbalstu.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neatbilstību - Instrukcijas 1. punktā ir noteikts, ka instrukcija nosaka kārtību, kādā tiek izstrādāti un saskaņoti atbalsta pasākumi, savukārt Instrukcijas 2.1. apakšpunktā atbalsta pasākumi tiek definēti jau kā jau "īstenotie pasākumi".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finansējuma saņēmējs – sīkais (mikro), mazais, vidējais un lielais komersants, pašnodarbināta persona,  biedrības un nodibinājumi, valsts zinātniskā institūcija,  publiskas personas kapitālsabiedrības, kas ir projekta iesniedzējs un saņem, publisku finansējumu atbalsta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Instrukcijas 2.3. apakšpunktā ir izceltas tikai </w:t>
            </w:r>
            <w:r w:rsidR="00000000" w:rsidRPr="00000000" w:rsidDel="00000000">
              <w:rPr>
                <w:b w:val="1"/>
                <w:rtl w:val="0"/>
              </w:rPr>
              <w:t xml:space="preserve">valsts</w:t>
            </w:r>
            <w:r w:rsidR="00000000" w:rsidRPr="00000000" w:rsidDel="00000000">
              <w:rPr>
                <w:rtl w:val="0"/>
              </w:rPr>
              <w:t xml:space="preserve"> zinātniskās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zinātniskās institūcijas ir zinātniskie institūti, augstskolas, komercsabiedrības, kā arī citas institūcijas, kuru statūtos, nolikumā vai satversmē ir paredzēta zinātniskā darbība, piedalīšanās zinātniskās kvalifikācijas iegūšanas un pilnveidošanas procesā un kuras ir reģistrētas zinātnisko institūciju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darba devējs - Latvijas Republikas Uzņēmumu reģistrā reģistrēts komersants, kas atbilst sīkā (mikro), mazā un vidējā komersanta statusam saskaņā ar Eiropas Komisijas 2014. gada 17. jūnija Regulas (ES) Nr. 651/2014, ar ko noteiktas atbalsta kategorijas atzīst par saderīgām ar iekšējo tirgu, piemērojot Līguma 107. un 108. pantu (turpmāk – Komisijas regula Nr. 651/2014) 2. panta 2. punktu vai lielā komersanta statusam saskaņā ar Regulas Nr. 651/2014 2. panta 24. punktā noteikto definīciju, un pašnodarbināta persona un paredz nodrošināt darbiniekam, kas ir pašnodarbināta persona vai darba devēja nodarbinātā persona, kura ir sasniegusi 18 gadu vecumu un kuriem ir noslēgts darba līgums ar darba devēju, prasmju pilnveidi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vai Instrukcijas 2.6. apakšpunktā iekļautais nosacījums par vecuma ierobežojumu (18 gadu vecs) ir attiecināms uz darba devēju vai darbinieku. Ņemot vērā to, ka Instrukcijas 2.6. apakšpunkts definē jēdzienu "darba devējs", tas nevar ietvert nosacījumus darbiniekiem.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Instrukcijas 2.6. apakšpunkta nosacījums "</w:t>
            </w:r>
            <w:r w:rsidR="00000000" w:rsidRPr="00000000" w:rsidDel="00000000">
              <w:rPr>
                <w:b w:val="1"/>
                <w:rtl w:val="0"/>
              </w:rPr>
              <w:t xml:space="preserve">kuriem</w:t>
            </w:r>
            <w:r w:rsidR="00000000" w:rsidRPr="00000000" w:rsidDel="00000000">
              <w:rPr>
                <w:rtl w:val="0"/>
              </w:rPr>
              <w:t xml:space="preserve"> ir noslēgts daba līgums ar darba devēju [..]", ievērojot apakšpunkta struktūru, patlaban ir attiecināms gan uz darbiniekiem, gan uz pašnodarbinātām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Tiesības darbiniekam vērsties pie darba devēja, lai nodrošinātu dalību nepieciešamajās mācībās darbinieka darba pienākumu veikšanai, profesionālās kvalifikācijas pilnveidei vai pārkvalifikācijai darba laika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6.2. apakšpunktā noteiktais "Tiesības darbiniekam vērsties pie darba devēja, lai nodrošinātu dalību nepieciešamajās mācībās darbinieka darba pienākumu veikšanai, profesionālās kvalifikācijas pilnveidei vai pārkvalifikācijai darba laika ietvaros" drīzāk ir uzskatāms par pienākumu darba devējiem nekā tiesības darbiniekam. Vēršam uzmanību, ka tiesības darbiniekam vērsties pie darba devēja ar lūgumu, jau patlaban izriet no darba tiesiskajām attiecībām un ir noteiktas Darba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pirms atbalsta sniegšanas ir veikts novērtējums par darbiniekam profesionālās pilnveides un papildus izglītošanas nepieciešamajām aktivitātēm vai darba devējs ir izstrādājis kārtību, kurā noteikts, kā darbinieks var piedalīties profesionālās pilnveides mācībās un kvalifikācijas celšanas pasākumos, kā arī  tajā noteikts kā darba devējs pilnveido  darbinieku prasmes un, atbilstoši izstrādātajai kārtībai, nodrošina atbalsta pasākumu pieejamību darbiniekam;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atbalstot darbinieku prasmju līmeņa noteikšanu un mācību vajadzību apzināšanu, tomēr norādām, ka "novērtējums par darbiniekam profesionālās pilnveides un papildus izglītošanas nepieciešamajām aktivitātēm" var būt arī viens no atbalsta pasākumu veidiem (piem., Digitālā brieduma testi), nevis tikai priekšnosacījums atbalsta saņemšanai.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produktivitāte – attiecība starp saražotās produkcijas daudzumu (izlaidi) un ražošanas procesā izmantoto resursu (ražošanas faktoru) daudzumu. Produktivitāte mēra cik efektīvi tiek izmantoti resursi (darbs, kapitāls u.c.), ražojot noteiktu produkcijas daudzumu (uzņēmumā, nozarē vai tautsaimniecībā kopumā).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2.5. apakšpunktā patlaban jēdziens "produktivitāte" ir attiecināms tikai uz saražoto produkciju. Vienlaikus produktivitāte aptver arī sniegto pakalpojumu apjomu.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Darbinieku produktivitātes rādītāju uzraudzību, lai novērtētu saņemtā atbalsta pasākuma ietvaros 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EM nodrošināt vienotu pieeju produktivitātes rādītāju uzraudzībai, piemēram, izstrādājot metodiku / vadlīnijas, lai gūtu savstarpēji salīdzinošus datus  atbalsta pasākumu efektivitātes monitoringam.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26.09.2024.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24-TA-2008</w:t>
    </w:r>
    <w:r>
      <w:br/>
    </w:r>
    <w:r w:rsidR="00000000" w:rsidRPr="00000000" w:rsidDel="00000000">
      <w:rPr>
        <w:rtl w:val="0"/>
      </w:rPr>
      <w:t xml:space="preserve">Izdrukāts 26.09.2024.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Atzinumi_24-TA-2008.docx</dc:title>
</cp:coreProperties>
</file>

<file path=docProps/custom.xml><?xml version="1.0" encoding="utf-8"?>
<Properties xmlns="http://schemas.openxmlformats.org/officeDocument/2006/custom-properties" xmlns:vt="http://schemas.openxmlformats.org/officeDocument/2006/docPropsVTypes"/>
</file>