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Ārējo automātisko defibrilatoru uzstādīšanas, ekspluatācijas, tehniskās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 sadaļā norādīts, ka, tā kā ārējie automātiskie defibrilatori ir medicīniskās ierīces, tad noteikumu projektā, kas nosaka šo defibrilatoru uzstādīšanas prasības, ekspluatācijas un tehniskās uzraudzības kārtību, ir ietverta norma, ka </w:t>
            </w:r>
            <w:r w:rsidR="00000000" w:rsidRPr="00000000" w:rsidDel="00000000">
              <w:rPr>
                <w:u w:val="single"/>
                <w:rtl w:val="0"/>
              </w:rPr>
              <w:t xml:space="preserve">defibrilatori atbilst Eiropas Parlamenta un Padomes 2017. gada 5. aprīļa Regulas (ES) 2017/745, kas attiecas uz medicīniskām ierīcēm, ar ko groza Direktīvu 2001/83/EK, Regulu (EK) Nr. 178/2002 un Regulu (EK) Nr. 1223/2009 un atceļ Padomes Direktīvas 90/385/EK un 93/42/EEK (Dokuments attiecas uz EEZ) (turpmāk - regula Nr. 2017/745) prasībām</w:t>
            </w:r>
            <w:r w:rsidR="00000000" w:rsidRPr="00000000" w:rsidDel="00000000">
              <w:rPr>
                <w:rtl w:val="0"/>
              </w:rPr>
              <w:t xml:space="preserve">.  Saistībā ar minēto vēršam uzmanību, ka noteikumu projektā nav ietverts attiecīgs regulējums, tādēļ lūdzam atbilstoši papildināt noteikumu projektu vai precizēt noteikumu projekta anotācijā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anotācijas 5. sadaļā ietvertās informācijas izriet (vienlaikus, kā norādīts iepriekš šajā atzinumā, noteikumu projektā šobrīd nav ietverts attiecīgs tiesiskais regulējums), ka ar noteikumu projektu tiek ieviestas regulas Nr. 2017/745 prasības, lūdzam izvērtēt un aizpildīt noteikumu projekta anotācijas 5.4. sadaļas 1. tabulas A-D aili ar informāciju par konkrētu minētās regulas vienību (prasību) ieviešanu noteikumu projektā vai precizēt noteikumu projekta anotācijas 5.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Ārējo automātisko defibrilatoru uzstādīšanas, ekspluatācijas, tehniskās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ziņojumā norādīts, ka noteikumu projektā ir paredzēts, ka defibrilatora īpašnieks vai valdītājs nodrošina defibrilatora uzraudzību, taču projektā šādas normas nav. Tādējādi lūdzam attiecīgi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Noteikumi stājās spēkā 2024.gada.1.janvārī.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13. punktu, jo 2023. gadā projektu nebūs iespējams izskatīt Ministru kabineta sēdē, jo noslēdzošā Ministru kabineta sēde notiek 19. decembrī (Valsts sekretāru 2023. gada 30. novembra sanāksmes protokola Nr. 37 5.§ 1.1. apakšpunkts) un saskaņā ar Oficiālo publikāciju un tiesiskās informācijas likuma 9. panta ceturto daļu normatīvajam aktam vai tā daļai nav atpakaļejoša spēka, izņemot likumā īpaši paredzētus gadījumus. Attiecīgi lūdzam precizēt arī projekta sākotnējās ietekmes (ex-ante)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20.12.2023. 21.44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20.12.2023. 21.44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Atzinumi_23-TA-1090.docx</dc:title>
</cp:coreProperties>
</file>

<file path=docProps/custom.xml><?xml version="1.0" encoding="utf-8"?>
<Properties xmlns="http://schemas.openxmlformats.org/officeDocument/2006/custom-properties" xmlns:vt="http://schemas.openxmlformats.org/officeDocument/2006/docPropsVTypes"/>
</file>