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sadaļas "Problēmas un risinājumi" "Risinājuma apraksts" 1.rindkopā norādīto informāciju, jo </w:t>
            </w:r>
            <w:r w:rsidR="00000000" w:rsidRPr="00000000" w:rsidDel="00000000">
              <w:rPr>
                <w:i w:val="1"/>
                <w:rtl w:val="0"/>
              </w:rPr>
              <w:t xml:space="preserve">Rail Baltica</w:t>
            </w:r>
            <w:r w:rsidR="00000000" w:rsidRPr="00000000" w:rsidDel="00000000">
              <w:rPr>
                <w:rtl w:val="0"/>
              </w:rPr>
              <w:t xml:space="preserve"> projekta īstenošanas likums neparedz aizsargājamo koku pārstādīšanu, kā arī atbilstoši 2.rindkopā norādītajai informācijai par reģionāla rakstura interesēm, lūdzam attiecīgi precizēt arī šeit minēto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rindkopā: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Projektā paredzēts svītrot MK noteikumu Nr. 264 56. punktu, lai novērstu to, ka aizsargājamo koku nociršanu (novākšanu) Rail Baltica projekta ietvaros regulē gan likums, gan Ministru kabineta noteikumi.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2.rindkopā: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Regulējuma precizējums nepieciešams, lai sabalansētu dabas aizsardzības, sociālās un ekonomiskās intereses (tajā skaitā valsts </w:t>
            </w:r>
            <w:r w:rsidR="00000000" w:rsidRPr="00000000" w:rsidDel="00000000">
              <w:rPr>
                <w:b w:val="1"/>
                <w:rtl w:val="0"/>
              </w:rPr>
              <w:t xml:space="preserve">un reģionālas</w:t>
            </w:r>
            <w:r w:rsidR="00000000" w:rsidRPr="00000000" w:rsidDel="00000000">
              <w:rPr>
                <w:rtl w:val="0"/>
              </w:rPr>
              <w:t xml:space="preserve"> nozīmes infrastruktūras objektu būvniecību), jo...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Timze (DAP)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25.05.2023.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25.05.2023.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