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25-TA-2558: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(turpmāk – informatīvais ziņojums) sadaļā “Plānotās izmaiņas slimnīcu tīklā” norādīts, ka, lai nodrošinātu noteikto prasību, kvalitātes rādītāju uzraudzības nodrošināšanu, kā arī uzlabotu aprūpes kvalitāti, </w:t>
            </w:r>
            <w:r w:rsidR="00000000" w:rsidRPr="00000000" w:rsidDel="00000000">
              <w:rPr>
                <w:u w:val="single"/>
                <w:rtl w:val="0"/>
              </w:rPr>
              <w:t xml:space="preserve">ir nepieciešams papildu resurss</w:t>
            </w:r>
            <w:r w:rsidR="00000000" w:rsidRPr="00000000" w:rsidDel="00000000">
              <w:rPr>
                <w:rtl w:val="0"/>
              </w:rPr>
              <w:t xml:space="preserve">: cilvēkresursi, infrastruktūra, finansējums un vienota datu uzskaite, kas integrēta e-veselības sistēmā. Vienlaikus informatīvā ziņojuma sadaļas “Turpmākā rīcība” (turpmāk – sadaļa) 7. punktā norādīts, ka Veselības ministrija (turpmāk – VM) līdz 2027.gada 1.janvārim pārskatīs finansējuma plānošanu stacionārās veselības aprūpes pakalpojumiem pēc būtības, </w:t>
            </w:r>
            <w:r w:rsidR="00000000" w:rsidRPr="00000000" w:rsidDel="00000000">
              <w:rPr>
                <w:u w:val="single"/>
                <w:rtl w:val="0"/>
              </w:rPr>
              <w:t xml:space="preserve">ievērojot valsts budžeta iespējas</w:t>
            </w:r>
            <w:r w:rsidR="00000000" w:rsidRPr="00000000" w:rsidDel="00000000">
              <w:rPr>
                <w:rtl w:val="0"/>
              </w:rPr>
              <w:t xml:space="preserve">. Savukārt sadaļas 8. punktā minēts, ka VM aktualizēs gultas dienas un viena pacienta ārstēšanas tarifus.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informatīvajā ziņojumā sniegtās informācijas nav saprotams, vai informatīvajā ziņojumā paredzēto pasākumu īstenošanai būs nepieciešams papildu valsts budžeta finansējums. Līdz ar to nepieciešams precizēt informatīvo ziņojumu, skaidri norādot plānoto pasākumu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minēts "Nepietiekams veselības aprūpes finansējums un speciālistu trūkums valsts apmaksātā veselības aprūpes sistēmā ir galvenie izaicinājumi, lai nodrošinātu savlaicīgu un pieejamu veselības aprūpi. Veselības aprūpes finansējums Latvijā  jau ilgstoši ir viens no zemākajiem Eiropas Savienībā (turpmāk – ES). Arī 2025.gadā veselības aprūpei tika atvēlēti tikai 4,8% no IKP, kamēr ES vidējais rādītājs ir 8,4 %. Vidēja termiņa budžeta plāni liecina, ka valsts izdevumi veselības aprūpei kā daļa no IKP līdz 2028.gadam samazināsies līdz 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pievienot skaitlisko rādītāju informācijas avotus.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25-TA-2558</w:t>
    </w:r>
    <w:r>
      <w:br/>
    </w:r>
    <w:r w:rsidR="00000000" w:rsidRPr="00000000" w:rsidDel="00000000">
      <w:rPr>
        <w:rtl w:val="0"/>
      </w:rPr>
      <w:t xml:space="preserve">Izdrukāts 10.11.2025.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25-TA-2558</w:t>
    </w:r>
    <w:r>
      <w:br/>
    </w:r>
    <w:r w:rsidR="00000000" w:rsidRPr="00000000" w:rsidDel="00000000">
      <w:rPr>
        <w:rtl w:val="0"/>
      </w:rPr>
      <w:t xml:space="preserve">Izdrukāts 10.11.2025.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Atzinumi_25-TA-2558.docx</dc:title>
</cp:coreProperties>
</file>

<file path=docProps/custom.xml><?xml version="1.0" encoding="utf-8"?>
<Properties xmlns="http://schemas.openxmlformats.org/officeDocument/2006/custom-properties" xmlns:vt="http://schemas.openxmlformats.org/officeDocument/2006/docPropsVTypes"/>
</file>