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Veselības aprūpes finansēšanas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Tiesības saņemt veselības aprūpes pakalpojumus valsts obligātās veselības apdrošināšanas ietvaros ir personām, kuras nav sociāli apdrošinātas Latvijā vai citā Eiropas Savienības dalībvalstī, Eiropas Ekonomikas zonas valstī vai Šveices Konfederācijā saskaņā ar Eiropas Parlamenta un Padomes 2004. gada 29. aprīļa regulu (EK) Nr. 883/2004 par sociālās nodrošināšanas sistēmas koordinēšanu un kurām ir nepārtraukti deklarēta vai reģistrēta dzīvesvieta Latvijā ne vēlāk kā vienu mēnesi pirms veselības aprūpes pakalpojumu saņemšanas, un kuras neatbilst šā panta pirmajā daļā minētajai grupai un pieder pie vienas no šādām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pilsonis;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nepilsonis;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ārzemnieks, kuram ir pastāvīgās uzturēšanās atļauja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bezvalstnieks, kuram Latvijā piešķirts bezvalstnieka statuss un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bēglis, kuram Latvijā piešķirts bēgļa statuss, vai persona, kurai Latvijā piešķirts alternatīvais statuss;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Eiropas Savienības dalībvalsts, Eiropas Ekonomikas zonas valsts vai Šveices Konfederācijas pilsonis, kuram izsniegta Savienības pilsoņa personas apliecība, kurā izdarīts ieraksts “Savienības pilsoņa pastāvīgās uzturēšanās apliecība”, vai reģistrācijas apliecība.”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2025. gada 25. septembrī un 13. oktobrī izteiktais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izziņā dotā atsauce uz Eiropas Savienības (ES) Tiesas 2021.gada 15.jūlija spriedumu lietā C-535/19 A nav pamatota, jo spriedums ir par gadījumiem, kad ES pilsonis, nevis trešo valstu pilsonis ir neaktīvs (nestrādā un nav sociāli apdrošināts) un viņam tika liegta veselības aprūpe citā ES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1.sadaļā rakstīts, ka "nepieciešams ieviest vienotu valsts apmaksāto veselības aprūpes pakalpojumu apjomu visām personām, kurām deklarēta vai reģistrēta dzīvesvieta (turpmāk - deklarēta dzīvesvieta) Latvijā vai tās strādā Latvijā, atsakoties no veselības aprūpes divu tā saucamo veselības aprūpes pakalpojumu “grozu” (“pamata grozs” un “pilnais grozs”) principa īstenošanas. Respektīvi, nepieciešams atteikties no jebkāda dalīta veselības aprūpes finansēšanas modeļa un noteikt vienotu valsts apmaksāto veselības aprūpes pakalpojumu apjomu Latvijas nodokļu maksātājiem (konkrēti sociāli apdrošinātām personām veselības apdrošināšanai saskaņā ar likumu "Par valsts sociālo apdrošināšanu") vai tiem, kuriem deklarētā dzīvesvietas adrese ir Latvijā (oficiālais ieraksts Fizisko personu reģistrā)." Šobrīd spēkā esošā likuma redakcija tomēr paredz divu grozu principu un ārzemnieki, kuri ieguvuši uzurēšanās atļauju Latvijā, varētu saņemt valsts apmaksātās medicīniskās palīdzības minimumu, nevis visus veselības aprūpes pakalpojumus, kā to paredz likumprojekts.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ierobežota budžeta ietvaros savlaicīgi netiek nodrošināti veselības aprūpes pakalpojumi Latvijas pilsoņiem, kuri pastāvīgi strādā, dzīvo un ir deklarēti Latvijā, kā rezultātā personas ir pakļautas invaliditātei, nav pamata dot tiesības saņemt visus veselības aprūpes pakalpojumus, piemēram, ārzemniekam, kurš, iegādājoties īpašumu Latvijā, būs ieguvis uzturēšanās atļauju un kura pienākums ir deklarēt dzīvesvietu Latvijā, kaut faktiski viņš Latvijā nedzīvo.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Latvijas pilsoņiem, nepilsoņiem, ārzemniekiem, kuriem ir pastāvīgās uzturēšanās atļauja Latvijā, bezvalstniekiem, kuriem bezvalstnieka statuss piešķirts Latvijas Republikā, ja tiem ir piešķirta Latvijas valsts pensija vai valsts sociālā nodrošinājuma pabalsts vecuma gadījumā, izdienas pensija vai speciālā valsts pensija un deklarētā dzīvesvieta ir citā ES dalībvalstī, EEZ valstī, Šveicē vai Apvienotajā Karalistē.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uzturēts 2025.gada 25.septembrī un 13. oktobrī izteiktais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Latvijai ir sociālās drošības līgumi ar vairākām valstīm (Krievijas Federāciju, Baltkrieviju, u.c.). Šo līgumu ietvaros pensija tiek aprēķināta un piešķirta pat par vienu darba stāža gadu, kas uzkrāts Latvijā, un par kuru tiek iegūtas tiesības uz Latvijas pensiju. Tādējādi trešo valstu pilsonis, kurš Latvijā būs nostrādājis vienu gadu un kurš par to saņems Latvijas pensiju, bet būs deklarējies citā ES dalībvalstī, EEZ valstī, Šveicē vai Apvienotajā Karalistē, varēs saņemt visus veselības aprūpes pakalpojumus uz Latvijas nodokļu maksātāju rēķina. Vēršam uzmanību, ka šādai personai vienīgā saistība ar Latviju var būt tikai šī pensijas izmaksa.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tiesības uz veselības aprūpes pakalpojumiem šajā punktā minētajām grupām jau tiks nodrošinātas 11.panta otrās daļas ietvaros, nav pamata šīs grupas iekļaut atsevišķā 11.panta trešās daļas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7. pantā izslēgt 11. panta trešās daļas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Rucka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07.11.2025.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07.11.2025.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Atzinumi_25-TA-2222.docx</dc:title>
</cp:coreProperties>
</file>

<file path=docProps/custom.xml><?xml version="1.0" encoding="utf-8"?>
<Properties xmlns="http://schemas.openxmlformats.org/officeDocument/2006/custom-properties" xmlns:vt="http://schemas.openxmlformats.org/officeDocument/2006/docPropsVTypes"/>
</file>