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Pasākuma ietvaros atbildīgās iestādes funkcijas pilda Vides aizsardzības un reģionālās attīstības ministrija. 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aizstāt vārdus "Vides aizsardzības" ar vārdiem "Viedās administrācijas".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Doniņa (KEM) (Sandija Sniķere (KEM)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Pasākuma atlases otrās kārtas projektu uzraudzības rādītājs un tā vērtība, kas sasniedzama pirmā pēcuzraudzības gada beigās: rezultāta rādītājs - šķiroti savāktu atkritumu daudzums. Rezultāta rādītāja vērtība tiek sasniegta, ja atlases otrās kārtas projektu ietvaros veikti ieguldījumi atkritumu dalītas savākšanas sistēmas attīstībā, sasniedzot dalīti savākto atkritumu daudzumu 4750 tonnas gadā. 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noteikumu projekta anotācijā, vai 4750 tonnas ir visu projektu kopējais rādītājs.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Doniņa (KEM) (Sandija Sniķere (KEM)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 Projekta iesniedzējs līdz pirmā maksājuma pieprasījuma iesniegšanas dienai sadarbības iestādē nodrošina, ka tam ir zemesgrāmatā nostiprinātas tiesības veikt būvdarbus zemesgabalos, kur paredzēts īstenot projektu.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vārdus "sadarbības iestādē nodrošina". Korketāk būtu, ka projekta iesniedzējs sadarbības iestādē sniedz apliecinājumu, tam ir minētās tiesības.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Doniņa (KEM) (Sandija Sniķere (KEM)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23.07.2024.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23.07.2024.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