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minētajā gadījumā nocērtamo koku fotografē vismaz no trijiem skatu punktiem tā, lai būtu skaidri redzams tas, ka koks ir nokaltis (piemēram, fotografē veģetācijas periodā) vai skaidri redzamas drošību ietekmējošās koka daļas vai citas pazīmes (piemēram, paceltas vai citādi mehāniski bojātas saknes, sašķelts, aizlūzis, apdedzis, trupējis vai nolūzis stumbrs, koks, kas ir augstāks par attālumu no koka sakņu kakla līdz infrastruktūras objektam ir sasvēries no vertikālās ass uz infrastruktūras objekta pusi vairāk par 15⁰ vai tam ir nesimetrisks vainags, kura skeletzari aug infrastruktūras objekta virzienā un tā stumbra garums no saknes līdz vainagam ir lielāks par 40 % no visa koka garuma). Vismaz piecas darbdienas pēc koka nociršanas nav pieļaujama koka celma un, vēlams, arī stumbra daļu aizvākšana, lai pašvaldība varētu pārbaudīt koka bīstamības pamatotību.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Pilsētās lielākajai daļai koku ir nesimetriski vainagi, kas veidojušies ierobežoto augšanas apstākļu, nevienmērīgās saules gaismas un cilvēku darbības rezultātā (piemēram, pacelti vainagi, lai atbrīvotu ielas telpu transportam, veikta vainaga korekcija, lai apgaismojuma staru kūlis apgaismotu ietvi u.c.). Šie koki nav bīstami.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koks ir sasvēries, tad tam ir bojātas saknes. Slīpi augošs koks nav sasvēries koks. Slīpi koki vienmēr nav bīstami.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šādu bīstama koka traktējumu </w:t>
            </w:r>
            <w:r w:rsidR="00000000" w:rsidRPr="00000000" w:rsidDel="00000000">
              <w:rPr>
                <w:i w:val="1"/>
                <w:rtl w:val="0"/>
              </w:rPr>
              <w:t xml:space="preserve">“koks, kas ir augstāks par attālumu no koka sakņu kakla līdz infrastruktūras objektam ir sasvēries no vertikālās ass uz infrastruktūras objekta pusi vairāk par 15⁰ vai tam ir nesimetrisks vainags, kura skeletzari aug infrastruktūras objekta virzienā un tā stumbra garums no saknes līdz vainagam ir lielāks par 40 % no visa koka garuma”.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ir grūti saprotams. Šādi gadījumi ir izvērtējami atsevišķi, jo mūsdienās ir iespējams veikt atbilstošu koka vainaga sakopšanu un koka nozāģēšana nav vienīgais kopšanas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Sasvēries par 15⁰ jeb slīpi augošs koks nav uzskatāms par bīstamu, jo ierobežotu, bet dabisku, apkārtējās vides apstākļu dēļ, koku stumbri attīstās slīpi un veido nesimetriskas vainagu sistēmas, parasti, brīvās teritorijas virzienā. Ilgstoši augot slīpi, vietās, kur ir palielināta slodze, koki stumbros veido papildus radiālo pieaugumu, kas, savukārt, nodrošina mehānisko noturību arī ilgstoši slīpi augošajos stumbros.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Slīpums un nesimetrisks vainags ir adaptīvs augšanas modelis, tādēļ, lai izvairītos no situācijas, kad tiek nocirsti ilgstoši slīpos apstākļos augošie koki, nepieciešams pilnvērtīgāks koka stāvokļa novērtējums vai vārda “sasvēries” skaidrojums par nedabisku un progresējošu slīpuma palielināšanos.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Trupējis stumbrs nerada bīstamību, ja trupes bojājumi ir sākotnējā stadijā, lokalizēti un koks ap trupējušo vietu veido reakcijas koksni, tādā veidā veicinot mehānisko noturību. Trupei progresējot ir svarīgi cik ātri kokauga suga spēj veidot reakcijas koksni.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nepieciešams norādīt skaidri definētu lielumu par iztrupējušās koksnes apjumu (piemēram, 80% no stumbra šķērslaukuma) vai minot konkrētus trupes izraisītājus (piemēram, Chalara fraxinea, Ustulina deusta).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Mehāniski bojātas saknes norāda uz tīšu rakšanas darbu veikšanu koku sakņu aizsardzības zonā, kas, savukārt, var būtiski ietekmēt koka augšanas stāvokli, izmainīt mikroklimatu koka dobumos, pasliktināt koka stabilitāti un/vai dzīvotspēju. Termins “mehāniski bojātas saknes” var uzskatīt par tīšu koka bojāšanu.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w:t>
            </w:r>
            <w:r w:rsidR="00000000" w:rsidRPr="00000000" w:rsidDel="00000000">
              <w:rPr>
                <w:b w:val="1"/>
                <w:rtl w:val="0"/>
              </w:rPr>
              <w:t xml:space="preserve"> rosinām izteikt bīstama koka definīciju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“bīstams koks – koks ar vizuāli redzamiem bojājumiem – dabas apstākļu rezultātā iztrupējis (vairāk nekā 80 %), aizlūzis, sašķelts, sasvēries, ar aprautu vai paceltu sakņu sistēmu, pilnīgi izgāzies vai ar citām pazīmēm, kas būtiski ietekmē tā mehānisko noturību.”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 gadījumā nav nepieciešama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 pašvaldības atļauja. Ja koku ciršana paredzēta pilsētas vai ciema teritorijā, </w:t>
            </w:r>
            <w:r w:rsidR="00000000" w:rsidRPr="00000000" w:rsidDel="00000000">
              <w:rPr>
                <w:b w:val="1"/>
                <w:rtl w:val="0"/>
              </w:rPr>
              <w:t xml:space="preserve">koku ciršanu var uzsākt, ja atlīdzināti šo noteikumu 23. punktā minētie zaudējumi.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10.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 Koku ciršanu atļauts uzsākt, ja būvatļaujā vai paskaidrojuma rakstā </w:t>
            </w:r>
            <w:r w:rsidR="00000000" w:rsidRPr="00000000" w:rsidDel="00000000">
              <w:rPr>
                <w:b w:val="1"/>
                <w:i w:val="1"/>
                <w:rtl w:val="0"/>
              </w:rPr>
              <w:t xml:space="preserve">ir izdarīta atzīme par būvniecības uzsākšanas nosacījumu izpildi </w:t>
            </w:r>
            <w:r w:rsidR="00000000" w:rsidRPr="00000000" w:rsidDel="00000000">
              <w:rPr>
                <w:i w:val="1"/>
                <w:rtl w:val="0"/>
              </w:rPr>
              <w:t xml:space="preserve">un atlīdzināti šo noteikumu 23. punktā minētie zaudējumi.”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saņemtu atļauju koku ciršanai ārpus meža, zemes īpašnieks, tiesiskais valdītājs vai tā pilnvarota persona, vai persona, kas rakstveidā vienojusies ar zemes īpašnieku vai tiesisko valdītāju, iesniedz pašvaldībā iesniegumu koku ciršanas atļaujas saņemšanai, izņemot šo noteikumu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redakcijas </w:t>
            </w:r>
            <w:r w:rsidR="00000000" w:rsidRPr="00000000" w:rsidDel="00000000">
              <w:rPr>
                <w:b w:val="1"/>
                <w:rtl w:val="0"/>
              </w:rPr>
              <w:t xml:space="preserve">nav skaidrs, kā rīkoties situācijā, kad privātpersona vai uzņēmējs vēlas cirst koku, kas atrodas blakus viņa īpašumam pašvaldības zemē</w:t>
            </w:r>
            <w:r w:rsidR="00000000" w:rsidRPr="00000000" w:rsidDel="00000000">
              <w:rPr>
                <w:rtl w:val="0"/>
              </w:rPr>
              <w:t xml:space="preserve"> (piemēram, lai uzbūvētu iebrauktuvi - pieslēgumu ielai, vai koks aizēno īpašumu). Vai personai pirms iesnieguma iesniegšanas papildus rakstveidā ir jāvienojas ar pašvaldību? Vai arī pašvaldības izsniegto atļauju var uzskatīt par noteikumos minēto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to precizēt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Pašvaldība izvērtē koku ciršanas atbilstību normatīvajiem aktiem par sugu un biotopu aizsardzību un īpaši aizsargājamām dabas teritorijām, pašvaldības teritorijas attīstības plānošanas dokumentiem, kā arī koku ainavisko, dendroloģisko un ekoloģisko nozīmīgumu, koku nozīmi dabas daudzveidības saglabāšanā un antropogēnās negatīvās ietekmes samazināšanā uz virszemes ūdensobjektiem un koku atbilstību ēku ekspluatācijas un cilvēku dzīves vietas un drošības apstākļiem un pieņem lēmumu par atļaujas izsniegšanu koku ciršanai ārpus meža vai par atteikumu izsniegt atļauju.</w:t>
            </w:r>
            <w:r w:rsidR="00000000" w:rsidRPr="00000000" w:rsidDel="00000000">
              <w:rPr>
                <w:b w:val="1"/>
                <w:rtl w:val="0"/>
              </w:rPr>
              <w:t xml:space="preserve"> </w:t>
            </w:r>
            <w:r w:rsidR="00000000" w:rsidRPr="00000000" w:rsidDel="00000000">
              <w:rPr>
                <w:rtl w:val="0"/>
              </w:rPr>
              <w:t xml:space="preserve">Atteikumā izsniegt atļauju koku ciršanai ir ietverts argumentēts pamatojums par konkrētā koka nozīmīgumu un skaidrojums, kāpēc koks nav aizstājams, iestādot citu koku. Pašvaldība lēmumu pieņem: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Neatbalstām 13. punktā iekļauto prasību par nepieciešamību koku ciršanas atteikumā iekļaut argumentētu pamatojumu par konkrētā koka nozīmīgumu un skaidrojumu</w:t>
            </w:r>
            <w:r w:rsidR="00000000" w:rsidRPr="00000000" w:rsidDel="00000000">
              <w:rPr>
                <w:rtl w:val="0"/>
              </w:rPr>
              <w:t xml:space="preserve">, kāpēc koks nav aizstājams, iestādot citu koku, jo šāda prasība nepamatoti sarežģīs un padarīs ilgāku un birokrātiskāku koku ciršanas atļauju izsniegšanas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koku ciršana paredzēta pilsētas vai ciema teritorijā esošā publiski pieejamā valsts īpašumā esošā objektā vai pašvaldības saistošajos noteikumos noteiktā sabiedrībai nozīmīgā gadījumā, pirms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minētā lēmuma pieņemšanas pašvaldība rīko publisko apspriešanu. Pēc publiskās apspriešanas rezultātu apkopošanas vietējā pašvaldība pieņem lēmumu par koku ciršanu pilsētas vai ciema teritorijā. </w:t>
            </w:r>
            <w:r w:rsidR="00000000" w:rsidRPr="00000000" w:rsidDel="00000000">
              <w:rPr>
                <w:b w:val="1"/>
                <w:rtl w:val="0"/>
              </w:rPr>
              <w:t xml:space="preserve">Pašvaldība rīko publisko apspriešanu arī tad, ja koku ciršana paredzēta pilsētas vai ciema teritorijā pašvaldības īpašumā esošā publiski pieejamā</w:t>
            </w:r>
            <w:r w:rsidR="00000000" w:rsidRPr="00000000" w:rsidDel="00000000">
              <w:rPr>
                <w:rtl w:val="0"/>
              </w:rPr>
              <w:t xml:space="preserve"> </w:t>
            </w:r>
            <w:r w:rsidR="00000000" w:rsidRPr="00000000" w:rsidDel="00000000">
              <w:rPr>
                <w:b w:val="1"/>
                <w:rtl w:val="0"/>
              </w:rPr>
              <w:t xml:space="preserve">objektā</w:t>
            </w:r>
            <w:r w:rsidR="00000000" w:rsidRPr="00000000" w:rsidDel="00000000">
              <w:rPr>
                <w:b w:val="1"/>
                <w:rtl w:val="0"/>
              </w:rPr>
              <w:t xml:space="preserve">.</w:t>
            </w:r>
            <w:r w:rsidR="00000000" w:rsidRPr="00000000" w:rsidDel="00000000">
              <w:rPr>
                <w:rtl w:val="0"/>
              </w:rPr>
              <w:t xml:space="preserve"> Publiskā apspriešana nav nepieciešana: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Kategoriski iebilstam pret piedāvāto normas redakciju</w:t>
            </w:r>
            <w:r w:rsidR="00000000" w:rsidRPr="00000000" w:rsidDel="00000000">
              <w:rPr>
                <w:rtl w:val="0"/>
              </w:rPr>
              <w:t xml:space="preserve">, jo tā ir pārāk vispārīga un neskaidra, rada būtisku administratīvā sloga pieaugumu pašvaldībām, vairākkārt paildzina pašvaldību projektu īstenošanas termiņus un būtiski apgrūtina koku apsaimniekošanas procesu kopumā. </w:t>
            </w:r>
            <w:r w:rsidR="00000000" w:rsidRPr="00000000" w:rsidDel="00000000">
              <w:rPr>
                <w:b w:val="1"/>
                <w:rtl w:val="0"/>
              </w:rPr>
              <w:t xml:space="preserve">Neuzskatām par pamatotu prasību visos gadījumos, kad tiek plānota koku ciršana publiski pieejamā valsts vai pašvaldības īpašumā esošos objektos, obligāti rīkot publisko apspriešanu.</w:t>
            </w:r>
            <w:r w:rsidR="00000000" w:rsidRPr="00000000" w:rsidDel="00000000">
              <w:rPr>
                <w:rtl w:val="0"/>
              </w:rPr>
              <w:t xml:space="preserve"> </w:t>
            </w:r>
            <w:r w:rsidR="00000000" w:rsidRPr="00000000" w:rsidDel="00000000">
              <w:rPr>
                <w:b w:val="1"/>
                <w:rtl w:val="0"/>
              </w:rPr>
              <w:t xml:space="preserve">Šāda birokrātiska pieeja apgrūtina savlaicīgu un pamatotu lēmumu pieņemšanu</w:t>
            </w:r>
            <w:r w:rsidR="00000000" w:rsidRPr="00000000" w:rsidDel="00000000">
              <w:rPr>
                <w:rtl w:val="0"/>
              </w:rPr>
              <w:t xml:space="preserve"> un praksē bieži liedz efektīvi sabalansēt objektīvu koku ciršanas nepieciešamību ar sabiedrības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norise ir laikietilpīgs un administratīvi sarežģīts process, kas prasa ievērojamus pašvaldības resursus un paildzina lēmumu pieņemšanu. Šādas procedūras organizēšana nav samērīga gadījumos, kad nepieciešams izdot atļauju koku ciršanai, jo īpaši situācijās, kur lēmums balstās uz profesionālu koku stāvokļa izvērtējumu un objektīvu drošības vai infrastruktūras uzturēšanas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5.7. apakšpunkts paredz, ka bez pašvaldības atļaujas koku ciršanai ārpus meža atļauts cirst, ja kokus cērt pašvaldība savā īpašumā vai valdījumā esošajā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17. punkta norma faktiski paredz, ka par visu koku ciršanu pašvaldības īpašumā vai valdījumā esošajā teritorijā ir jāveic publiskā apspriešana, jo lielākā daļa pašvaldības īpašumā vai valdījumā esošās teritorijas ir sabiedriski nozīmīgas vai publiski pieejamas. Norma rada nenoteiktību un potenciālo strīdu starp pašvaldību un sabiedrību rašanās risku, jo nav skaidrs, kādos konkrēti gadījumos pašvaldība var cirst kokus nerīkojot publisko apspriešanu, jo gandrīz visas tās īpašumā vai valdījumā esošās teritorijas ir publiski pieejamas.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"17. Pirms šo noteikumu 13. punktā minētā lēmuma pieņemšanas pašvaldība </w:t>
            </w:r>
            <w:r w:rsidR="00000000" w:rsidRPr="00000000" w:rsidDel="00000000">
              <w:rPr>
                <w:b w:val="1"/>
                <w:i w:val="1"/>
                <w:u w:val="single"/>
                <w:rtl w:val="0"/>
              </w:rPr>
              <w:t xml:space="preserve">var rīkot</w:t>
            </w:r>
            <w:r w:rsidR="00000000" w:rsidRPr="00000000" w:rsidDel="00000000">
              <w:rPr>
                <w:i w:val="1"/>
                <w:rtl w:val="0"/>
              </w:rPr>
              <w:t xml:space="preserve"> publisko apspriešanu, ja koku ciršana paredzēta pilsētas vai ciema teritorijā esošā publiski pieejamā valsts vai pašvaldības īpašumā esošā objektā vai pašvaldības saistošajos noteikumos noteiktā sabiedrībai nozīmīgā gadījumā. Pēc publiskās apspriešanas rezultātu apkopošanas vietējā pašvaldība pieņem lēmumu par koku ciršanu pilsētas vai ciema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4.9.</w:t>
            </w:r>
            <w:r w:rsidR="00000000" w:rsidRPr="00000000" w:rsidDel="00000000">
              <w:rPr>
                <w:rtl w:val="0"/>
              </w:rPr>
              <w:t xml:space="preserve"> un </w:t>
            </w:r>
            <w:r w:rsidR="00000000" w:rsidRPr="00000000" w:rsidDel="00000000">
              <w:rPr>
                <w:rtl w:val="0"/>
              </w:rPr>
              <w:t xml:space="preserve">4.11.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minētajā gadījumā pašvaldība atļauju koku ciršanai ārpus meža izsniedz pēc Dabas aizsardzības pārvaldes atzinuma saņemšanas. Dabas aizsardzības pārvalde atzinumu sniedz 10 darbdienu laikā pēc pašvaldības pieprasījuma saņemšanas. Ja 10 darbdienu laikā pēc pieprasījuma iesniegšanas iebildumi no Dabas aizsardzības pārvaldes nav saņemti, koku ciršanu uzskata par saskaņotu.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Šāds nosacījums būtiski palielina birokrātisko slogu</w:t>
            </w:r>
            <w:r w:rsidR="00000000" w:rsidRPr="00000000" w:rsidDel="00000000">
              <w:rPr>
                <w:rtl w:val="0"/>
              </w:rPr>
              <w:t xml:space="preserve">, ja DAP atzinums jāsaņem pirms koku ciršanas atļaujas izsniegšanas apakšpunktos nosauktajās teritorijās pilsētā - kultūras pieminekļu teritorijās un to aizsargjoslās, parkos, alejās, neatkarīgi no koka apkārtmēra.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dzēst šo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Pilsētas un ciema teritorijā koku ciršana aizliegta laikposmā no 15.aprīļa līdz 30.jūnijam, izņemot šo noteikumu </w:t>
            </w:r>
            <w:r w:rsidR="00000000" w:rsidRPr="00000000" w:rsidDel="00000000">
              <w:rPr>
                <w:rtl w:val="0"/>
              </w:rPr>
              <w:t xml:space="preserve">5.</w:t>
            </w:r>
            <w:r w:rsidR="00000000" w:rsidRPr="00000000" w:rsidDel="00000000">
              <w:rPr>
                <w:rtl w:val="0"/>
              </w:rPr>
              <w:t xml:space="preserve">punktā minēto gadījumu vai gadījumu, ja pašvaldība koka nociršanu atzinusi par neatliekamu.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aizstāt “šo noteikumu 5. punktā minētajā gadījumu” ar “ 5.4. 5.5. un 5.7. apakšpunktā minētajiem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ja koku ciršanu aizstāj ar jaunu koku iestādīšanu atbilstoši pašvaldības saistošajiem noteikumiem. </w:t>
            </w:r>
            <w:r w:rsidR="00000000" w:rsidRPr="00000000" w:rsidDel="00000000">
              <w:rPr>
                <w:b w:val="1"/>
                <w:rtl w:val="0"/>
              </w:rPr>
              <w:t xml:space="preserve">Koku stādīšanas un uzturēšanas nosacījumus iekļauj šo noteikumu </w:t>
            </w:r>
            <w:r w:rsidR="00000000" w:rsidRPr="00000000" w:rsidDel="00000000">
              <w:rPr>
                <w:rtl w:val="0"/>
              </w:rPr>
              <w:t xml:space="preserve">4.</w:t>
            </w:r>
            <w:r w:rsidR="00000000" w:rsidRPr="00000000" w:rsidDel="00000000">
              <w:rPr>
                <w:rtl w:val="0"/>
              </w:rPr>
              <w:t xml:space="preserve">, </w:t>
            </w:r>
            <w:r w:rsidR="00000000" w:rsidRPr="00000000" w:rsidDel="00000000">
              <w:rPr>
                <w:b w:val="1"/>
                <w:rtl w:val="0"/>
              </w:rPr>
              <w:t xml:space="preserve"> </w:t>
            </w:r>
            <w:r w:rsidR="00000000" w:rsidRPr="00000000" w:rsidDel="00000000">
              <w:rPr>
                <w:b w:val="1"/>
                <w:rtl w:val="0"/>
              </w:rPr>
              <w:t xml:space="preserve">7.</w:t>
            </w:r>
            <w:r w:rsidR="00000000" w:rsidRPr="00000000" w:rsidDel="00000000">
              <w:rPr>
                <w:b w:val="1"/>
                <w:rtl w:val="0"/>
              </w:rPr>
              <w:t xml:space="preserve">, </w:t>
            </w:r>
            <w:r w:rsidR="00000000" w:rsidRPr="00000000" w:rsidDel="00000000">
              <w:rPr>
                <w:b w:val="1"/>
                <w:rtl w:val="0"/>
              </w:rPr>
              <w:t xml:space="preserve">8.</w:t>
            </w:r>
            <w:r w:rsidR="00000000" w:rsidRPr="00000000" w:rsidDel="00000000">
              <w:rPr>
                <w:b w:val="1"/>
                <w:rtl w:val="0"/>
              </w:rPr>
              <w:t xml:space="preserve"> un </w:t>
            </w:r>
            <w:r w:rsidR="00000000" w:rsidRPr="00000000" w:rsidDel="00000000">
              <w:rPr>
                <w:b w:val="1"/>
                <w:rtl w:val="0"/>
              </w:rPr>
              <w:t xml:space="preserve">9. </w:t>
            </w:r>
            <w:r w:rsidR="00000000" w:rsidRPr="00000000" w:rsidDel="00000000">
              <w:rPr>
                <w:b w:val="1"/>
                <w:rtl w:val="0"/>
              </w:rPr>
              <w:t xml:space="preserve">punktā</w:t>
            </w:r>
            <w:r w:rsidR="00000000" w:rsidRPr="00000000" w:rsidDel="00000000">
              <w:rPr>
                <w:b w:val="1"/>
                <w:rtl w:val="0"/>
              </w:rPr>
              <w:t xml:space="preserve"> minētajā atļaujā.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iespējas nodrošināt kontroli par jauno koku stādījumiem un to ilgdzīvi,</w:t>
            </w:r>
            <w:r w:rsidR="00000000" w:rsidRPr="00000000" w:rsidDel="00000000">
              <w:rPr>
                <w:rtl w:val="0"/>
              </w:rPr>
              <w:t xml:space="preserve"> ja pirms objekta nodošanas ekspluatācijā jaunie koki saskaņā ar būvprojektu arī tiks iestādīti, tad saskaņā ar MK noteikumu Nr.309 apakšpunktu 5.2. īpašnieks ir tiesīgs šos kokus nocirst kamēr tie nav sasnieguši normatīvajos aktos noteikto caurmēru.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Lielo koku stādījumu atjaunošana, īpaši būvniecības gadījumos, ir nepieciešama, taču jaunie koku stādījumi nevar būt kompensācija nocirstajiem liela izmēra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 pašvaldības var nodrošināt jauno koku stādījumu ilgdzīvi privātīpašumos.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svītrot 25.7.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Koeficienti zaudējumu atlīdzības aprēķināšanai par koku ciršanu pilsētas un ciema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saglabāt pašreiz spēkā esošo koeficienta vērtību 0 līdz 1, saglabājot pašvaldībai iespēju, nepieciešamības gadījumā, nenoteikt zaudējumu atlīdzību</w:t>
            </w:r>
            <w:r w:rsidR="00000000" w:rsidRPr="00000000" w:rsidDel="00000000">
              <w:rPr>
                <w:rtl w:val="0"/>
              </w:rPr>
              <w:t xml:space="preserve"> (piemēram, savrupmāju apbūves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teritorijā, kurā atrodas kultūras pieminekļi, un tās aizsargjoslā;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saglabāta prasība saņemt NKMP atzinumu par koku ciršanu arī kultūras pieminekļu aizsargjoslā, netiek samazināts birokrātiskais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atcelt šo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30.01.2026.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30.01.2026.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