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Meža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konstatēts, ka laikposmā no 1. septembra līdz 1. martam gāzto un lauzto egļu (izņemot sauso koku) diametrs ir lielāks par 20 centimetriem, to apjoms pārsniedz 10 kubikmetru uz hektāru un tās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paredzētajā termiņā nav paredzēts izvākt no mežaudzēm, kurās egles sastāva koeficients mežaudzes formulā ir vismaz 4, līdz kārtējā gada 1. aprīlim nodrošināma to aizsardzība pret stumbra kaitēkļiem.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 punktā ietvert izņēmumu, kas šis nosacījums neattiecas uz īpaši aizsargājamām dabas teritorijām (turpmāk - ĪADT) un mikroliegumiem, ja tur netiek veikta šādu koku ciršana un izvākšana. Jo tas var nebūt saistīts ar ĪADT un mikroliegumu aizsardzību un izmantošanu normatīvajos aktos noteikto regulējumu, bet šādu koku ciršana var būt pretrunā teritorijas īpaši aizsargājamo sugu un biotopu aizsardzības mērķiem, un līdz ar to šādu koku ciršana netiek plānota un netiks veikta. Līdz ar to šādā gadījumā nebūtu uzliekams meža īpašniekam pienākums veikt stumbru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konstatēts, ka laikposmā no 1. septembra līdz 1. martam gāzto un lauzto egļu (izņemot sauso koku) diametrs ir lielāks par 20 centimetriem, to apjoms pārsniedz 10 kubikmetru uz hektāru un tās šo noteikumu 5. punktā paredzētajā termiņā nav paredzēts izvākt no mežaudzēm, kurās egles sastāva koeficients mežaudzes formulā ir vismaz 4, līdz kārtējā gada 1. aprīlim nodrošināma to aizsardzība pret stumbra kaitēkļiem, </w:t>
            </w:r>
            <w:r w:rsidR="00000000" w:rsidRPr="00000000" w:rsidDel="00000000">
              <w:rPr>
                <w:b w:val="1"/>
                <w:rtl w:val="0"/>
              </w:rPr>
              <w:t xml:space="preserve">izņemot īpaši aizsargājamās dabas teritorijās un mikroliegumos, ja tur netiks veikta šādu koku ciršana un izvākšana.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23.05.2023.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23.05.2023.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Atzinumi_23-TA-1017.docx</dc:title>
</cp:coreProperties>
</file>

<file path=docProps/custom.xml><?xml version="1.0" encoding="utf-8"?>
<Properties xmlns="http://schemas.openxmlformats.org/officeDocument/2006/custom-properties" xmlns:vt="http://schemas.openxmlformats.org/officeDocument/2006/docPropsVTypes"/>
</file>