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23-TA-2382: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VARAM pasākuma īstenošanas noteikumu projektā iekļaut  vispārējos IKT projektu priekšatlases principus, t.sk.,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ka funkcionāli līdzīgām darbībām tiek nodrošināts centralizētais 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saņemts ārējo ekspertu atzinums par IKT projektu sarakstu ar rekomendācijām par risinājumu vai to daļu, ja tās jau eksistē tirgū, iegādi vai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tie ir/nav galveno publisko pakalpojumu sarakstā, kas jānodrošina 2021-2027 (minēti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plānota IKT risinājumu un pakalpojumu attīstība un iespēju radīšana privātajam sektoram, risinājuma nepieciešamību pamato "klientu vajadzību izpētes" dokuments, nodrošinot, ka tiek izstrādāts tikai tad, kas prioritāri nepieciešams privātajam sektoram (veicams sadarbībā ar Ekonomikas ministriju (EM) vai vismaz saskaņojams ar 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ievērots darbību loģiskais secīgums;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risinājuma sadarbspēja, t.sk. vienreizes principa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ievēroti VARAM norādījumi par maksimālo uzturēšanas izmaksu līmeni, piemēram, noteikts vienots % ierobežojums, gan par īpašumtiesībām;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VARAM izvērtēt nepieciešamību noteikumu projektā noteikt, ka VARAM ir jāizstrādā kārtība IKT projektu izvērtēšanai/priekšatlasei, atbilstoši noteikumu projektā noteiktajām minimālajām prasībām, kas saskaņojami arī ar Finanšu ministriju kā ES fondu vadošo iestādi, t.sk. atrunājot arī kā un kādā veidā, cik bieži valsts prioritāro IKT projektu saraksts var tikt pārskatīts vai iekļaut atsauci uz dokumentu, kas to nosaka.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normu, kura paredzētu, ka plānotie ieguldījumi publiskās pārvaldes īpašumā esošajos digitālajos risinājumos, t.sk. pirmkodi, intelektuālā īpašuma tiesības atrodas finansējuma saņēmēja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Kohēzijas programmas 2021.-2027. gadam 9. sadaļai “Plānoto stratēģiski svarīgo darbību saraksts un to plānotais laika grafiks” 1.3.1.1. pasākumā ir paredzēti stratēģiski svarīgie projekti. Lūdzam papildināt MK noteikumu projektu ar informāciju attiecībā uz tiem. Noteikumu projektā ir jābūt norādītiem konkrētiem plānotajiem stratēģiski svarīgajiem projektiem vai jābūt norādītam, ka visi attiecīgā pasākuma/ atlases kārtas projekti ir uzskatāmi par stratēģiski svarīgiem projektiem. Atbildīgā iestāde noteikumu projektā var definēt arī stratēģiski svarīgo projektu kopumu.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projekts paredz stratēģiski svarīgu projektu īstenošanu, noteikumu projektā iekļauj pienākumu finansējuma saņēmējam nodrošināt papildus komunikācijas pasākumu īstenošanu atbilstoši Eiropas Savienības fondu 2021.–2027. gada plānošanas perioda un Atveseļošanas fonda komunikācijas un dizaina vadlīnijās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projekti atbilstoši Ministru kabinetā apstiprinātam plānoto projektu sarakstam, kurā norādīta informācija par projekta nosaukumu, projekta kopējo finansējuma apmēru, projekta īstenotāju, sasniedzamajām rādītāju vērtībām un kopsavilkuma informāciju par projektā plānotajiem ieguvumiem.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informāciju attiecībā uz konkrētajiem plānoto projektu priekšatlases kritērijiem un kartību, kādā minētie projekti tiks atlasīti.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norādīt datumu, līdz kuram plāno apstiprināt plānoto projektu sarakstu.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 kā valsts informācijas un komunikācijas tehnoloģiju pārvaldības organizācija (turpmāk - valsts informācijas un komunikācijas tehnoloģiju pārvaldības organizācija) sniedz sadarbības iestādei informāciju par informācijas un komunikācijas tehnoloģiju risinājuma attīstības aktivitāšu aprakstiem, kas ir saņēmuši pozitīvu Vides aizsardzības un reģionālās attīstības ministrijas atzinumu.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punkta normu aiz noteikumu projekta 6.punkta, kas nosaka, ka neskatoties uz priekšatlasē atlasītajiem IKT projektiem, institūcijām iesniedzot IKT projektu pases saskaņošanai, to IKT projektu gadījumā, kas tiek iesniegti vairāk kā pēc 1,5 gadiem pēc IKT projektu saraksta apstiprināšanas, nepieciešams atkārtoti izvērtēt risinājuma aktualitāti, t.sk.nodrošinot, ka netiek izstrādāti un ieviesti tehnoloģiski novecojuši/ neaktuāli risinājumi, atkārtoti saņemot VARAM kā valsts informācijas un komunikācijas tehnoloģiju pārvaldības organizācijas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Sadarbības iestāde izsludina ierobežotu projektu iesniegumu atlasi  un pēc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atzinuma saņemšanas nosūta uzaicinājumu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 minētajā Ministru kabinetā apstiprinātajā plānoto projektu sarakstā norādītājiem projektu iesniedzējiem iesniegt projektu iesniegumus ierobežotai projektu iesniegumu atlasei.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ka atlasi izsludina pēc MK saraksta apstiprināšanas, ņemot vērā, ka Sadarbības iestāde izsludina atlasi  pēc kritēriju un noteikumu apstiprināšanas, bet šajā gadījumā, kad vēl nav zināmi projektu iesniedzēji, tas būtu priekšlaicīgi.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Sorina Jakovļeva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Pasākuma mērķis un sasniedzamie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normu, kura paredzētu, ka finansējuma saņēmējam ir jāuzkrāj dati par kopējiem ieguldījumiem katrā no Viedās specializācijas stratēģijas (RIS3) jomam- 1.3.1.SAM gadījumā atbilstošā RIS3 joma – IKT, ievadot tos Kohēzijas politikas fondu vadības informācijas sistēmā. Vienlaikus aicinām izvērtēt nepieciešamību noteikt arī šāda RIS3 rādītāja iekļaušanu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“P&amp;A izdevumu apjoms - publiskais finansējums”. Aicinām VARAM šo jautājumu savstarpēji izrunāt ar Ekonomikas ministriju kā par RIS3 monitoringu nacionāli atbildīgo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Pasākumam pieejamais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16. un 17.punktus, norādot finansējuma apmēru valsts budžeta finansējumam un pašvaldību budžeta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kas pēc projekta iesnieguma apstiprināšanas un civiltiesiskā līguma vai vienošanās par projekta īstenošanu noslēgšanas ir finansējuma saņēmējs, pasākuma ietvaros ir tiešās pārvaldes iestāde, pašvaldība, publiskas personas kapitālsabiedrība (deleģēto pārvaldes uzdevumu veikšanai) vai tiesu varas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11., 21., 22. punktā un anotācijā norādīta neviennozīmīga informācija, vai atbalsta pasākums vērsts tikai uz valsts kapitālsabiedrībām, valsts un pašvaldību kapitālsabiedrībām vai visām publisku personu kapitālsabiedrībām. Lūdzam saskaņot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Sorina Jakovļeva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slēdzot rakstisku sadarbības līgumu, kurā noteikti pušu pienākumi, tiesības un atbildība projekta mērķa un rādītāju sasniegšanā, par sadarbības partneri var piesaistīt citu tiešās pārvaldes iestādi, pašvaldību, plānošanas reģionu, publiskas personas kapitālsabiedrību (deleģēto pārvaldes uzdevumu veikšanai), tiesu varas institūciju, biedrību vai nodibinājumu (deleģēto pārvaldes uzdevumu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MKN projektu ar jaunu punktu aiz 22.punkta, paredzot VARAM kā valsts informācijas un komunikācijas tehnoloģiju pārvaldības organizācijas tiesības noteikt gadījumus, kad finansējuma saņēmējam ir obligāti jāpiesaista sadarbības partneri, piemēram, lai nodrošinātu centralizētu un /vai koplietošanas risinājumu izstrādi IKT projektu gadījumā, kur nepieciešami analogi risinājumi dažādām institūcijām. Šobrīd noteikumu projekts paredz tikai finansējuma saņēmējam iespēju piesaistīt sadarbības partnerus (var piesaistīt).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projekta kopējās izmaksas pārsniedz vienu miljonu </w:t>
            </w:r>
            <w:r w:rsidR="00000000" w:rsidRPr="00000000" w:rsidDel="00000000">
              <w:rPr>
                <w:i w:val="1"/>
                <w:rtl w:val="0"/>
              </w:rPr>
              <w:t xml:space="preserve">euro</w:t>
            </w:r>
            <w:r w:rsidR="00000000" w:rsidRPr="00000000" w:rsidDel="00000000">
              <w:rPr>
                <w:rtl w:val="0"/>
              </w:rPr>
              <w:t xml:space="preserve">, projekta iesniedzējs veic izmaksu un ieguvumu analīzi (finanšu analīzi un ekonomisko analīzi), ko pievieno projekta iesniegumam (šis nosacījums neattiecas uz projektu, kura ietvaros tiek īstenota valsts pārvaldes jomu (domēnu) un attīstāmo risinājumu arhitektūras atbilstoši Eiropas sadarbspējas satvara principiem un ieteikumiem koordinēšana un pārvaldība). Izmaksu un ieguvumu analīzei jāparāda, ka projekta kopējie ieguvumi un ietaupījumi ir lielāki par projekta investīcijām un darbības izmaksām visā projekta dzīves ciklā.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 gada 13. jūlija sēdes protokollēmumā (prot. Nr. 36 85. § 3. punkts) noteikto, SAM MK noteikumos ir jāparedz nepieciešamību finansējuma saņēmējam veikt projekta izmaksu un ieguvumu analīzi, ja projekta kopējās izmaksas ir lielākas par 1 miljonu euro, vai arī atbildīgā iestāde SAM MK noteikumu anotācijā pamato, kādēļ var nepiemērot minēto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 projekta 26.punktā ir minēts, ka nosacījums par izmaksu un ieguvumu analīzes veikšanu "neattiecas uz  projektu, kura ietvaros tiek īstenota valsts pārvaldes jomu (domēnu) un attīstāmo risinājumu arhitektūras atbilstoši Eiropas sadarbspējas satvara principiem un ieteikumiem koordinēšana un pārvaldība", lūdzam to skaidrot anotācijā atbilstoši minētā protokollēmuma nosacījumam. Norādām, ka nepieciešams ievērot vienlīdzīgu nosacījumu piemērošanu visiem viena SAM projektiem vienādi, tai skaitā arī attiecībā uz izmaksu un ieguvumu analīzi. Ja tomēr pastāv objektīvi apstākļi, kā dēļ atsevišķiem projektiem izmaksu un ieguvumu analīzi nav iesējams veikt, lūdzam to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projekta iesniegumu pamatojošās dokumentācijas sagatavošanas izmaksas, tai skaitā izmaksu un ieguvumu analīzes sagatavošanas izmaksas (izņemot projekta iesnieguma veidlapas aizpildīšanas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Vadošās iestādes vadlīniju Nr.1.2. "Vadlīnijas attiecināmo izmaksu noteikšanai Eiropas Savienības kohēzijas politikas programmas 2021.-2027.gada plānošanas periodā" 10.2.apakšpunktā noteikts šādi: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ja tas ir noteikts Ministru kabineta noteikumos par specifiskā atbalsta mērķa īstenošanu (t.sk. veicot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nodrošināt minētā ierobežojuma iekļaušanu Ministru kabineta noteikumu projektā (kas attiecas uz minētā projekta 28.1. un 28.3. apakšpunktā minētajām izmaksām), kā arī salāgot informāciju ar anotācijā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 projekta īstenošanas personāla atlīdzības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izmaksu attiecināšanā būtu jāievēro vienāda pieeja. Ņemot vērā, ka projekta vadības personāla izmaksu segšanai paredzēts piemērot vienoto izmaksu likmi, lūdzam to piemērot arī projekta īstenošanas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28.13. projekta vadības personāla atlīdzības izmaksas, kuras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 2021/1060) 55.panta 1.punktu plāno kā vienu izmaksu pozīciju, piemērojot vienoto izmaksu likmi 10 procentu apmērā no projekta tiešajām attiecināmajām izmaksām, bet neieskaitot tiešās projekta vadības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likmes apmērs (t.sk. aprēķini) ir jāsaskaņo ar vadošo iestādi, attiecīgi pēc vadošās iestādes saskaņojuma konkrētais procents tiek iekļauts Ministru kabineta noteikumos un nepieciešamības gadījumā tiek pārskatīta iekļautā informācija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netiešās attiecināmās izmaksas ir finansējuma saņēmēja projekta vadības personāla administratīvās izmaksas, un tās plāno kā vienu izmaksu pozīciju, piemērojot netiešo izmaksu vienoto likmi 15 procentu apmērā no šo noteikumu </w:t>
            </w:r>
            <w:r w:rsidR="00000000" w:rsidRPr="00000000" w:rsidDel="00000000">
              <w:rPr>
                <w:rtl w:val="0"/>
              </w:rPr>
              <w:t xml:space="preserve">28.13. </w:t>
            </w:r>
            <w:r w:rsidR="00000000" w:rsidRPr="00000000" w:rsidDel="00000000">
              <w:rPr>
                <w:rtl w:val="0"/>
              </w:rPr>
              <w:t xml:space="preserve">apakšpunktā</w:t>
            </w:r>
            <w:r w:rsidR="00000000" w:rsidRPr="00000000" w:rsidDel="00000000">
              <w:rPr>
                <w:rtl w:val="0"/>
              </w:rPr>
              <w:t xml:space="preserve"> minētajām tiešajām attiecināmajām projekta vadības personāla izmaksām.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netiešo izmaksu vienoto likmi rēķina no tiešajām attiecināmajām personāla izmaksām, lūdzam papildināt Ministru kabineta noteikumu projekta 29.punktu ar atsauci arī uz minētā projekta 28.12.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Neparedzētie izdevumi nepārsniedz trīs procentus no projekta kopējām tiešajām attiecināmajām izmaksām, un tos veic, lai nodrošinātu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Vadošās iestādes vadlīniju Nr.1.2. "Vadlīnijas attiecināmo izmaksu noteikšanai Eiropas Savienības kohēzijas politikas programmas 2021.-2027.gada plānošanas periodā" katrā specifiskajā atbalsta mērķī (turpmāk - SAM) minētais procentuālais apmērs ir jāizvērtē individuāli, atkarībā no tā, cik apjomīgus un sarežģītus projektus paredzēts īstenot attiecīgajā SAM, taču tas kopumā nedrīkst pārsniegt 5 % no kopējo tiešo attiecināmo izmaksu summas. Līdz ar to lūdzam anotācijā iekļaut pamatojumu, kāpēc konkrētajā SAM nosaka procentuālo neparedzēto izdevumu tieši tādā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Ministru kabineta noteikumu projekta 30.punktu papildināt ar nosacījumu, ka neparedzēto izmaksu izlietošanu pirms izdevumu veikšanas finansējuma saņēmējs saskaņo ar sadarbības iestādi, kā to nosaka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Pasākuma ietvaros izmaksas ir attiecināmas no 2023.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projekta izmaksas paredzēts attiecināt no Ministru kabineta noteikumu spēkā stāšanās dienas vai pirms tam, un finansējuma saņēmējs ir valsts budžeta iestāde, anotācijā ir jāsniedz pamatojums un Ministru kabineta noteikumu projektam ir jāpievieno Ministru kabineta sēdes protokollēmuma projekts, kas nosaka finanšu plūsmas pirms projekta apstiprināšanas nodrošināšanas nosacījumus, kā arī atbildīgās iestādes pienākumus un atbildību gadījumos, ja pirms projekta apstiprināšanas radušās izmaksas nav attiecināmas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noteikumu projektu ar informāciju, ka nedrīkst attiecināt jau pabeigtas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 nodrošina interešu konflikta neesamību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w:t>
            </w:r>
            <w:r w:rsidR="00000000" w:rsidRPr="00000000" w:rsidDel="00000000">
              <w:rPr>
                <w:i w:val="1"/>
                <w:rtl w:val="0"/>
              </w:rPr>
              <w:t xml:space="preserve">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61.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nosakot, ka finansējuma saņēmējs un sadarbības partneris paraksta apliecinājumu par interešu konflikta neesamību. Papildus lūdzam papildināt ar nosacījumu, ka finansējuma saņēmējam ir pienākums izstrādāt kārtību, kādā tiks nodrošināta interešu konflikta neesamība, identificēti apstākļi, kuri izraisa vai var izraisīt interešu konfliktu, kas rada apdraudējumu vai kaitējumu projektu īstenošanai, noteikti veicamie pasākumi un izstrādāti darbības plāni interešu konflikta preventīvai novēršanai un gadījumiem, kad interešu konflikts ir atklāts.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tā pamatojums atbilst spējai to izlietot sešu mēnešu laikā saimnieciskā gada ietvaros (finansējuma saņēmējam ir pabeigts  iepirkums).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Ja finansējuma saņēmējs ir valsts kapitālsabiedrība, kura īsteno projektu tai deleģēto pārvaldes uzdevumu ietvaros, avansa un starpposma maksājumu kopsumma var būt 100 procenti no projektam piešķirtā Eiropas Reģionālās attīstības fonda finansējuma un valsts budžeta līdzfinansējuma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izvērstu pamatojumu nepieciešamībai noteikt 100 % avansa un starpposma maksājumu kopsummu.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tā pamatojums atbilst spējai to izlietot sešu mēnešu laikā saimnieciskā gada ietvaros (finansējuma saņēmējam ir pabeigts  iepirkums).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Ja finansējuma saņēmējs ir valsts kapitālsabiedrība, kura īsteno projektu tai deleģēto pārvaldes uzdevumu ietvaros, avansa un starpposma maksājumu kopsumma var būt 100 procenti no projektam piešķirtā Eiropas Reģionālās attīstības fonda finansējuma un valsts budžeta līdzfinansējuma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nepieciešamību noteikt avansa apmēru 50 % no projektam piešķirtā Eiropas Reģionālās attīstības fonda finansējuma. Vēršam uzmanību, ka atbilstoši Ministru kabineta 2023. gada 25. aprīļa noteikumu Nr. 205 "Valsts budžeta līdzekļu plānošanas kārtība Eiropas Savienības fondu projektu īstenošanai un maksājumu veikšanai 2021.– 2027. gada plānošanas periodā" 10. punktam sadarbības iestāde, veicot avansa maksājumus, ievēro nosacījumu, ka maksimālais avansa apjoms nevar pārsniegt 30 % no projektam piešķirtā Eiropas Savienības fonda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ja finansējuma saņēmējs ir valsts pārvaldes iestādes, tām avansa maksājumu neplāno, attiecīgi lūdzam atrunāt uz kuriem finansējuma saņēmējiem norma par avansu ir attiecināma.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“Pasākumam pieejamais finansējums” norādīto informāciju, ņemot vērā noteikuma projekta 16., 17., 21.punktos norādīto, ka projektos paredzēts arī pašvaldību budžeta finansējums un projekta iesniedzējs ir arī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esošais risinājums rada nevienlīdzīgu pieeju un apstākļus projekta vadības un īstenošanas personāla izmaksu segšanā, līdz ar to aicinām izvērtēt, vai vienotā likme nebūtu jāpaaugstina, lai nosegtu projektu īstenošanas personāla izmaksas vai arī izstrādāt vienkāršoto izmaksu metodiku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sinerģiju, papildinātību ar Atveseļošanas fonda 2.1. reformu un investīciju virziena "Valsts pārvaldes, tai skaitā pašvaldību, digitālā transformācija" plānotajiem ieguldījumiem, norādot, kā tiks nodrošināta demarkācija un dubultfinansējuma riska novēršana gadījumos, kad no dažādiem finanšu avotiem tiks atbalstītas līdzīgas atbalstāmās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anotācijā no kādiem līdzekļiem tiks nodrošināta pasākuma rezultātu/ rādītāju ilgtspēja vai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novērtējumu par plānoto ietekmi uz tautsaimniecību, t.sk. norādot pēc iespējas izmērāmus faktiski sagaidāmos rezultātus/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 t.sk. iekļaujot informāciju par to, ka projektu iesniegumu kritēriji cita starpā paredz katra IKT projekta līmenī atbilstoši MKN noteiktajiem nosacījumiem veikt izmaksu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ERAF finansējumu 2024.gadam, lai tas sakristu ar 1.1.apakšpunktā 2024.gadam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noteikumu projekts tiks virzīts izskatīšanai Ministru kabineta sēdē 2024.gadā, lūdzam precizēt anotācijas 3.sadaļā sniegto informāciju, proti, kā kārtējo gadu norādīt 2024.gadu.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21.punktā noteikts, ka projekta iesniedzējs citu starpā var būt arī pašvaldība, tāpat noteikumu projekta 16.punktā noteikts, ka nacionālais finansējums ir gan valsts budžeta finansējums, gan pašvaldību budžeta finansējums, savukārt, anotācijas 3.sadaļā ietekme uz pašvaldību budžetiem nav norādīta. Līdz ar to lūdzam precizēt anotācijas 3.sadaļu, norādot finansiālo ietekmi arī uz pašvaldību budžetiem sadalījumā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Kohēzijas programmas 2021.-2027. gadam pasākuma ietvaros īstenotie projekti un minētās atbalstāmās darbības veicinās Eiropas Savienības stratēģijā Baltijas jūras reģionam (ESSBJR) noteikto mērķu sasniegšanu. Tādējādi lūdzam papildināt MK noteikumu projektu ar informāciju par sasaisti ar ESSBJR.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lūdzam norādīt anotācijā, ka investīcijām piemērojams Makroreģionālā un jūras baseinu stratēģija kods 03 - Baltijas jūras reģiona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ar normu, kura paredzētu iespēju atbilstoši Eiropas Savienības fondu 2021.—2027. gada plānošanas perioda vadības likuma 9.panta trešajai daļai uzraudzības procesā piesaistīt tiešās pārvaldes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Sadarbības iestāde izsludina ierobežotu projektu iesniegumu atlasi  un pēc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atzinuma saņemšanas nosūta uzaicinājumu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 minētajā Ministru kabinetā apstiprinātajā plānoto projektu sarakstā norādītājiem projektu iesniedzējiem iesniegt projektu iesniegumus ierobežotai projektu iesniegumu atlasei.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Ministru kabineta noteikumu projekta 7.punktā vārdus "ierobežotai projektu iesniegumu atlasei" ar vārdiem "atlases nolikumā noteiktā kārtībā", ņemot vērā, ka atlases nolikumā tiek noteiktas prasības kā jāsniedz projekta iesniegums un kādiem kritērijiem tam jāatbilst.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Pasākumu īsteno līdz 2029. gada 31. decembrim, sasniedzot šādus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visur MK noteikumos lietot terminu "pasākums".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publiskā sektora iestādes, kas atbalstītas digitālo pakalpojumu, produktu un procesu izstrādei – 20, tai skaitā par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finansējumu – vismaz 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šāds rādītājs ar identisko sasniedzamo vērtību jau iekļauts 1.3.1.2. pasākuma "Inovācijas laboratorija digitalizācijas priekšrocību izmantošanai" MK noteikumos, lūdzam papildināt anotāciju ar informāciju attiecībā uz to, kādā veidā tas tiks uzskatīts 1.3.1.1.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1.3.1.2. pasākuma MK noteikumu anotācijā attiecībā uz šo aspektu ir sniegta šāda informācija: "Ņemot vērā 1.3.1.1. un 1.3.1.2. pasākumu ciešo sasaisti, savstarpējo mijiedarbību un ietekmi uz 1.3.1. specifiskā atbalsta mērķa RCO 14 rādītāja “Publiskā sektora iestādes, kas atbalstītas digitālo pakalpojumu, produktu un procesu izstrādei” izpildi, lai mazinātu rādītāju pārklāšanās un dubultās uzskaites risku, RCO 14 rādītāja uzskaiti un datu ievadi ES fondu KP VIS sistēmā nodrošinās Vides aizsardzības un reģionālās attīstības ministrija, kas ir galvenā atbildīgā iestāde par 1.3.1. specifiskā atbalsta mērķa īstenošanu, jo RCO 14 rādītājs var tikt uzskatīts par sasniegtu tikai tad, kad tas ir veidojies no pilna un sekmīgi īstenota 1.3.1.1. un 1.3.1.2. pasākumu ieviešanas cikla, nodrošinot atbalstu publiskā sektora iestādēm digitālo pakalpojumu, produktu un procesu izstrādei.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programmas rezultāta rādītājs – jaunu un modernizētu publisko digitālo pakalpojumu, produktu un procesu lietotāji (saimnieciskās darbības veicēji, iestādes) – 914, tai skaitā par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finansējumu – vismaz 770.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iekavās norādītā informācija neietilpst apstiprinātā rādītāja nosaukumā, bet ir svarīga noteikumu projekta 12.2.apakšpunkta viennozīmīgai izpratnei, aicinām iekavās norādīto informāciju pārcelt uz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12.1.1.</w:t>
            </w:r>
            <w:r w:rsidR="00000000" w:rsidRPr="00000000" w:rsidDel="00000000">
              <w:rPr>
                <w:rtl w:val="0"/>
              </w:rPr>
              <w:t xml:space="preserve"> un </w:t>
            </w:r>
            <w:r w:rsidR="00000000" w:rsidRPr="00000000" w:rsidDel="00000000">
              <w:rPr>
                <w:rtl w:val="0"/>
              </w:rPr>
              <w:t xml:space="preserve">12.1.2. </w:t>
            </w:r>
            <w:r w:rsidR="00000000" w:rsidRPr="00000000" w:rsidDel="00000000">
              <w:rPr>
                <w:rtl w:val="0"/>
              </w:rPr>
              <w:t xml:space="preserve">apakšpunktā</w:t>
            </w:r>
            <w:r w:rsidR="00000000" w:rsidRPr="00000000" w:rsidDel="00000000">
              <w:rPr>
                <w:rtl w:val="0"/>
              </w:rPr>
              <w:t xml:space="preserve"> noteiktie iznākuma rādītāji ir sasniegti, kad ir apstiprināts maksājuma pieprasījums, ar kuru tiek apliecināti arī sasniegtie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ietverot nosacījumu/-s, lai pārliecinātos par rādītāju sasniegšanu un varētu apstiprināt maksājuma pieprasījumu, nevis nosakot, ka maksājuma pieprasījuma apstiprināšana liecina par rādītāju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Eiropas Reģionālās attīstības fonda finansējums projektā nepārsniedz 85 procentus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norādot, ka ERAF finansējuma intensitāte nepārsniedz izmaksu un ieguvumu analīzē aprēķināto finansējuma deficīta procentuālo apmēru, ja projekta iesniedzējs veic 26. punktā noteikto izmaksu un ieguvumu analīzi.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Sorina Jakovļeva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valsts pārvaldes un pašvaldību informācijas sistēmu un platformu jaunu, uz lietotājiem orientētu funkcionalitāšu attīstība valsts pārvaldes un komercsektora efektīvas digitalizācijas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nav atbalstāma esošo valsts pārvaldes un pašvaldību informācijas sistēmu un platformu pilnveide un, nepieciešamības gadījumā, iestrādāt papildinājumu.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Sorina Jakovļeva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28.4.2. valsts pārvaldes jomu (domēnu) un attīstāmo risinājumu arhitektūru projektēšanas un attīstības atbilstoši Eiropas sadarbspējas satvara principiem un ieteikumiem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anotāciju papildināt ar konkrētiem Eiropas sadarbspējas satvara principiem un ieteikumiem, kas minēti noteikumu projekta 28.4.2. un 28.11.apakšpunktos un kurus jāņem vērā, izvērtējot valsts pārvaldes jomu (domēnu) un attīstāmo risinājumu arhitektūru projektēšanas un attīstības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28.4.3. programmatūras sistēmas licenču iegādes izmaksas, ja maksas programmatūras produkta vai programmatūras komponentes izmantošanas lietderība ir pamatota un saskaņota atbilstoši normatīvajiem aktiem valsts informācijas sistēmu vispārējo tehnisko prasību jomā, tai skaitā licenču atjauninājumu izmaksas licenču darbības periodā, kas nepārsniedz piecus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Nepārprotamai interpretācijai un izmaksu attiecināmības izvērtēšanai projektu īstenošanā aicinām anotāciju papildināt ar skaidrojumu par licenču un to atjauninājumu darbības periodu.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sniegt skaidrojumu un papildināt anotāciju ar informāciju, vai maksas programmatūras produkta vai programmatūras komponentes izmantošanas lietderība ir pamatota un saskaņota atbilstoši normatīvajiem aktiem valsts informācijas sistēmu vispārējo tehnisko prasību jomā tiks iekļauts atzinumā saskaņā ar  valsts informācijas sistēmu attīstības projektu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28.6.3. sērijveida programmatūras iegādes izmaksas, tai skaitā licenču un uzturēšanas atbalsta atjauninājumu izmaksas licenču vai programmatūras darbības periodā, kas nepārsniedz piecus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2014-2020 perioda pieredzi IKT projektu īstenošanas uzraudzībā un interpretācijas iespējas, aicinām dzēst teksta daļu “uzturēšanas atbalsta” vai skaidrot tā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28.6.6. specializētu tehnoloģisko risinājumu un iekārtu sagādes un pielāgošanas izmaksas, kas radušās projekta īstenošanas ietvaros aprīkojot valsts pārvaldes institūciju ar tehnoloģiskiem risinājumiem un iekārtām, kas nodrošina iespējas īstenot digitāli transformētus pārvaldes procesus;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skaidrojumu MK noteikumu projekta anotācijā par specializētu tehnoloģisko risinājumu un iekārtu sagādēm un pielāgošanās izmaksām, konkretizējot 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Sorina Jakovļeva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 finansējuma saņēmējiem un sadarbības partneriem projekta mērķu un rādītāju sasniegšanai nepieciešamās informācijas un komunikācijas tehnoloģiju aparatūras un iekārtu iegādes izmaksas, nepārsniedzot trīs procentus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konkrēti norādīt, kuru iepriekš uzskaitītajām izmaksu pozīcijām ir plānots 3% ierobežojums. Lūdzam papildināt apakšpunktu ar punktiem, kas attiecas uz informācijas un komunikācijas tehnoloģiju aparatūras un iekārtu iegādes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 projekta īstenošanas personāla atlīdzības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ar Eiropas Parlamenta un Padomes 2021. gada 24. jūnija Regulā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aicinām Ministru kabineta noteikumu projektā un anotācijā, kur attiecināms, aizstāt terminus - personāla atlīdzība/ personāla atlīdzības izmaksas ar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Lūdzām piemērot visā tekstā, kur tas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saņēmējs nodrošina, ka pasākuma ietvaros plānotais atbalsts nepārklājas ar citiem valsts un ārvalstu finanšu atbalsta instrumentiem.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35. punktu nosakot, ka finansējuma saņēmējs nodrošina arī dubultā finansējuma neiestāšanos.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Sadarbības partneris nodrošina to projekta darbību īstenošanu, kas attiecas uz tā atbildības jomu. Sadarbības partneris ir atbildīgs par projekta rezultātu sasniegšanu tādā apjomā, kā noteikts sadarbības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skaidri nodalīt, kādas darbības un izmaksas būs attiecināmas uz finansējuma saņēmēju, bet kādas uz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un sadarbības partneris (ja attiecināms) projekta ietvaros iepirkumus projekta ietvaros veic saskaņā ar publisko iepirkumu reglamentējošajiem normatīvajiem aktiem, īstenojot atklātu, pārredzamu, nediskriminējošu un konkurenci nodrošinošu konkursa procedūru. Finansējuma saņēmējs un sadarbības partneris (ja attiecināms) nodrošina vides prasību integrāciju preču un pakalpojumu iepirkumos – zaļais publiskais iepirkums – un vides un informācijas pieejamību – sociāli atbildīgs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MK noteikumu projektu ar normu, kura paredzētu arī inovatīva publiskā iepirkuma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uzraudzības biroja sagatavotā informācija par Inovatīvo publisko iepirkumu pieejama šeit: https://www.iub.gov.lv/lv/inovativais-iepirkums?utm_source=https%3A%2F%2Fwww.google.com%2F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tā pamatojums atbilst spējai to izlietot sešu mēnešu laikā saimnieciskā gada ietvaros (finansējuma saņēmējam ir pabeigts  iepirkums).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Ja finansējuma saņēmējs ir valsts kapitālsabiedrība, kura īsteno projektu tai deleģēto pārvaldes uzdevumu ietvaros, avansa un starpposma maksājumu kopsumma var būt 100 procenti no projektam piešķirtā Eiropas Reģionālās attīstības fonda finansējuma un valsts budžeta līdzfinansējuma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skaidrojumu par avansa piešķiršanas nosacījumiem, kas tiek ietverts “finansējuma saņēmējam ir pabeigts iepirkums”.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ietvert atsauci uz nacionālo dokumentu, kas nosaka, kuri ir galvenie publiskie pakalpojumi kas jānodrošina ES fondu 2021.-2027.gada plānošanas periodā vai sniegt šādu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apakšsadaļā “Vienkāršotās izmaksas” lūdzam norādīt korektas atsauces, precizējot punktu no “27.13.” uz “27.12.”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23-TA-2382</w:t>
    </w:r>
    <w:r>
      <w:br/>
    </w:r>
    <w:r w:rsidR="00000000" w:rsidRPr="00000000" w:rsidDel="00000000">
      <w:rPr>
        <w:rtl w:val="0"/>
      </w:rPr>
      <w:t xml:space="preserve">Izdrukāts 29.12.2023. 10.10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23-TA-2382</w:t>
    </w:r>
    <w:r>
      <w:br/>
    </w:r>
    <w:r w:rsidR="00000000" w:rsidRPr="00000000" w:rsidDel="00000000">
      <w:rPr>
        <w:rtl w:val="0"/>
      </w:rPr>
      <w:t xml:space="preserve">Izdrukāts 29.12.2023. 10.10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Atzinumi_23-TA-2382.docx</dc:title>
</cp:coreProperties>
</file>

<file path=docProps/custom.xml><?xml version="1.0" encoding="utf-8"?>
<Properties xmlns="http://schemas.openxmlformats.org/officeDocument/2006/custom-properties" xmlns:vt="http://schemas.openxmlformats.org/officeDocument/2006/docPropsVTypes"/>
</file>