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atbalstāmi veselības veicināšanas un slimību profilakses pasākumi Latvijas iedzīvotājiem visos vecuma posmos un dažādām mērķa grupām, kas novērstu priekšlaicīgu mirstību, darba nespēju, veicinātu dzīves kvalitāti un uzlabotu iedzīvotāju veselībpratību, šādās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norādītas vairākas atbalstāmās jomas, bet nav ietverta norāde par konkrētu jomu minimālo skaitu, kas būtu jāietver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pieļaujams, ka projekta ietvaros tiek īstenota tikai viena no Noteikumu 16. punktā norādītajām atbalsta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17.1.</w:t>
            </w:r>
            <w:r w:rsidR="00000000" w:rsidRPr="00000000" w:rsidDel="00000000">
              <w:rPr>
                <w:rtl w:val="0"/>
              </w:rPr>
              <w:t xml:space="preserve"> apakšpunktā minētās atbalstāmās darbības ietvaros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21.2.</w:t>
            </w:r>
            <w:r w:rsidR="00000000" w:rsidRPr="00000000" w:rsidDel="00000000">
              <w:rPr>
                <w:rtl w:val="0"/>
              </w:rPr>
              <w:t xml:space="preserve"> punktā minētajām pasākuma projekta pārējām tiešajām attiecināmajām īstenošanas izmaksām, kas nav personāla izmaksas, un minētās atbalstāmās darbības ietvaros ir attiecināmas finansējuma saņēmēja vadības personāla un īstenošanas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noteikuma projekta 18. punktā noteikts, ka projekta vadības personāla un īstenošanas personāla izmaksas plāno kā vienu izmaksu pozīciju, piemērojot izmaksu vienoto likmi 10% apmērā no pārējām projekta tiešajām attiecināmajām izmaksām, kas nav personāla izmaksas, saskaņā ar Eiropas Parlamenta un Padomes 2021. gada 24. jūnija Regulas (ES) Nr. 2021/1060 55. panta 1. punktu. Savukārt, minētās regulas 55. panta 1. punktā norādīts, ka tiešās personāla izmaksas var aprēķināt, izmantojot vienotu likmi līdz 20% apmērā no tiešajām izmaksām. Vienlaikus vēršam uzmanību, ka vidējais atalgojuma līmenis valstī kopumā (ievērojot gan Valsts un pašvaldību institūciju amatpersonu un darbinieku atlīdzības likumā noteikto, gan Centrālās statistikas pārvaldē publiski pieejamās datu bāzēs informāciju par vidējo darba samaksu valstī sadalījumā pa gadiem), salīdzinot 2023. gadu ar iepriekšējiem gadiem, ir būtiski palielinājies, un, lai nodrošinātu kvalificēta darba spēka piesaisti projekta īstenošanai, nepieciešams nodrošināt konkurētspējīgu atalgojuma līmeni, lai novērstu risku darbinieku mainībai, proti, var veidoties situācija, ka pašvaldību darbiniekiem var tikt nodrošinātas tādas priekšrocības, ko nav iespējams nodrošināt projekta ietvaros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pārskatīt Ministru kabineta noteikuma projekta 18. punktā piemērotās vienotās likmes apmēru 10% no pārējām projekta tiešajām attiecināmajām izmaksām, kas nepieciešamas projekta vadības personāla un īstenošanas personāla izmaksu segšanai, un noteikt vienotās likmes apmēru vismaz 12-13% apmērā no pārējām projekta tiešajām attiecināmajām izmaksām, kas nav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22.11.2023.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22.11.2023.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