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23-TA-2071: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1.2.1. specifiskā atbalsta mērķa "Pētniecības un inovāciju kapacitātes stiprināšana un progresīvu tehnoloģiju ieviešana uzņēmumiem" 1.2.1.1. pasākuma “Atbalsts jaunu produktu attīstībai un internacionalizācijai” 1.kārtas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Vispārīgie jautājumi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EM uzmanību uz to, ka MKN virzība uz MK ir atbalstāma pēc EK viedokļa saņemšanas uz LV sniegtajam atbildēm KPP 2021-2027 grozījumu kontekstā, kur cita starpā EK lūdza LV pamatot kosmosa nozares izdalīšanu kā LV prioritāti, norādot, ka kosmosa nozare nevar tikt uzskatīta kā horizontālā prioritāte (nosūtīts EK š.g. 24.maijā; EK Izziņas 31.punkts).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Aveniņa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gala labuma guvējs - Latvijas Republikas Komercreģistrā reģistrēts komersants, kas atbilst sīkā (mikro), mazā un vidējā komersanta statusam, kas atbilst Komisijas 2014. gada 17. jūnija Regulas (ES) Nr. 651/2014, ar ko noteiktas atbalsta kategorijas atzīst par saderīgām ar iekšējo tirgu, piemērojot Līguma 107. un 108. pantu  2. panta 2. punktu (turpmāk – Regula Nr.651/2014); mazās vidējās kapitalizācijas sabiedrības saskaņā ar Eiropas Parlamenta un Padomes 2015. gada 25. jūnija Regulas (ES) 2015/1017 par Eiropas Stratēģisko investīciju fondu, Eiropas Investīciju konsultāciju centru un Eiropas Investīciju projektu portālu, ar ko groza Regulas (ES) Nr. 1291/2013 un (ES) Nr. 1316/2013 – Eiropas Stratēģisko investīciju fonds (turpmāk – Regula Nr. 2015/1017), 2. panta 5.punktu; vidējās kapitalizācijas sabiedrības, kas atbilst Regula Nr. 2015/1017 2.panta 7.punktam, un lielie saimnieciskās darbības veicēji, kas atbilst Regulas Nr. 651/2014 2. panta 24. punktam, ar nosacījumu, ja tas ietver sadarbību minētajās aktivitātēs ar MVU P&amp;I aktivitātēs (t.sk. pašvaldību un valsts kapitālsabiedrības), un noslēdzis vienošanos ar Finansējuma saņēmēju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atbalsta programmas ietvaros uz atbalstu drīkst pretendēt (gala labu  guvēji) gan mazie un vidējie komersanti, gan arī lielie komersanti, kas nosakāmi atbilstoši Komisijas regulas 651/2014 prasībām, nav skaidrs, kāpēc ir nepieciešams izdalīt mazās vidējās kapitalizācijas un vidējās kapitalizācijas sabiedrības, par kurām nav skaidri izvērtēšanas kritēriji. Ņemot vērā, ka atbalsta programma neparedz arī atšķirīgas atbalsta intensitātes atkarībā no gala labuma guvēja kategorijas, nesaskatām nepieciešamību/lietderību iekļaut  mazās vidējās kapitalizācijas un vidējās kapitalizācijas sabiedrības gala labuma guvēju sarakstā un rosināt no gala labuma guvēju saraksta dzēst mazās vidējās kapitalizācijas un vidējās kapitalizācijas sabiedrības. Gadījumā, ja tomēr ir nepieciešamība iekļaut mazās vidējās kapitalizācijas un vidējās kapitalizācijas sabiedrības, lūdzam sniegt pamatojumu.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Cintija Ripa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 Atbalstāmās darbības un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visos noteikumu projekta punktos, kur ir minētas projekta vadības un projekta īstenošanas personāla izmaksas iekļaut nosacījumu, ka darbinieku atlīdzības izmaksas ir attiecināmas, ja darbinieki noteiktā laika posmā ne mazāk kā 30% no normālā darba laika katrā mēnesī veic pienākumus, kas saistīti ar projektu, un tas ir pamatots ar atbilstošiem izmaksas pamatojošiem dokumentiem.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35.8. dalība Eiropas Savienības kohēzijas politikas programmas 2021.–2027. gadam 1.2.1. specifiskā atbalsta mērķa "Pētniecības un inovāciju kapacitātes stiprināšana un progresīvu tehnoloģiju ieviešana uzņēmumiem" 1.2.1.1. pasākuma “Atbalsts jaunu produktu attīstībai un internacionalizācijai” 3.kārtas pētniecības projektu atlases sēdēs, ziņojuma izstrādē un ārējo ekspertu piesaiste, ja nepieciešams starpposmu un gala noslēguma pētniecības projektu izvērtēšanai.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1.2.1.1. pasākuma “Atbalsts jaunu produktu attīstībai un internacionalizācijai” 3.kārtas MK noteikumu projektā nav paredzēta Ekonomikas ministrijas ārējo ekspertu piesaiste starpposmu un gala noslēguma pētniecības projektu izvērtēšanai, ekspertu piesaiste kā pienākums ir paredzēts tikai sadarbības iestādei projektu atlases posmā, kā arī nepieciešamības gadījumā sadarbības iestāde var iesaistīt ekspertu starpposma un gala noslēguma rezultātu izvērtēšanā. Attiecībā uz Ekonomikas ministriju 1.2.1.1. trešās kārtas MK noteikumu projektā šādi pienākumi nav paredzēti.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skaidri un nepārprotami sasaistīt 1.2.1.1. pasākuma pirmās un trešās kārtas MK noteikumu redakcijas, kā arī anotācijā pamatot, kādēļ 1.2.1.1. pirmās kārtas pasākuma ietvaros tiek paredzētas finansējums 1.2.1.1. trešās kārtas pasākuma darbībām (gan EM darbinieku atalgojums, gan ārējo ekspertu piesaistes izmaksas), ņemot vērā, ka abu pasākumu mērķi ir savstarpēji nesaistīti.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Baranovska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Pasākuma ietvaros Ekonomikas ministrijas kā finansējuma saņēmēja tiešās attiecināmās izmaksu pozīcijas: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pasākuma ietvaros ir paredzētas netiešās izmaksas, lūdzam izvērtēt, vai daļa no tiešo attiecināmo izmaksu pozīcijām nebūtu izslēdzamas un finansējamas no netiešo izmaksu pozīcijas, piemēram, 37.4., 37.6. un 37.10. apakšpunktos norādītās izmaksu pozīcijas.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Baranovska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 Pasākuma ietvaros LIAA tiešās attiecināmās izmaksu pozīcijas: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pasākuma ietvaros ir paredzētas netiešās izmaksas, lūdzam izvērtēt, vai daļa no tiešo attiecināmo izmaksu pozīcijām nebūtu izslēdzamas un finansējamas no netiešo izmaksu pozīcijas, piemēram, 38.6. un 38.8. apakšpunktos norādītās izmaksu pozīcijas.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Baranovska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 Pasākuma ietvaros LIAA tiešās attiecināmās izmaksu pozīcijas: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projekta 38.7. apakšpunktā ir plānotas projekta vadības un projekta īstenošanas personāla izmaksas, lūdzam iekļaut ierobežojumu projekta vadības personāla izmaksām projektiem, kuru tiešās attiecināmās izmaksas pārsniedz/ vai ir zem 5 000 000 euro.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 Pasākuma ietvaros ESA BIC Latvia tiešās attiecināmās izmaksu pozīcijas: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pasākuma ietvaros ir paredzētas netiešās izmaksas, lūdzam izvērtēt un paredzēt 40.5. apakšpunktā norādītās izmaksas kā netiešo izmaksu pozīciju.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Baranovska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Pasākuma ietvaros gala labuma guvējam tiešās attiecināmās izmaksu pozīcijas: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iepriekš izteikto iebildumu, ka ir saskatāms ievērojami liels nesamērīgs administratīvais slogs gan finansējuma saņēmēja, gan sadarbības iestādes un gala labuma guvēju pusē, ņemot vērā, ka maksimāli iespējamā atbalsta summu gala labuma guvējiem ir 10 000 EUR LIAA sniegtajam atbalstam un 30 000 EUR ESA BIC Latvia sniegtajam atbalstam. Lūdzam atkārtoti izvērtēt vienreizējā maksājuma paredzēšanas iespējas.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Personu apvienības “KPMG Baltics AS un SIA “Oxford Research Baltics”” veiktajam pētījumā "Vienkāršoto izmaksu piemērošanas iespējas 2021.-2027. gada ES fondu plānošanas periodā" noteiktajam, ja projekta izmaksas pārsniedz 200 000 EUR, bet tiek paredzēti daudzpakāpju projekti, proti, projekta ietvaros ir plānotas projekta darbības zem 200 000 EUR sliekšņa, kas mērķētas uz lielu gala labuma guvēju (netiešo FS) loku (un kuriem būtu jāiesniedz izdevumus pamatojoši dokumenti gadījumā, ja netiek piemērotas vienkāršotās izmaksas), vienkāršotās izmaksas ir jāpiemēro pilnībā izmaksām, kas attiecas uz gala labuma guvējiem, kā arī vienkāršoto izmaksu piemērošanas lietderība saglabājas, ja komercdarbības (valsts) atbalsts atbilst “de minimis” atbalsta jēdzienam.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Baranovska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41.5. jaunradītu darba vietu aprīkojuma, biroja mēbeļu un tehnikas, datorprogrammu un licences iegādes vai nomas izmaksas, aprīkojuma uzturēšanas un remonta izmaksas, vai esošo darba vietu atjaunošanas izmaksas, ja esošo darba vietu aprīkojums ir nolietojies un tiek norakstīts, ne vairāk kā 3 000 euro vienai darba vietai visā projekta īstenošanas laikā, ja finansējuma saņēmēja projekta vadības vai īstenošanas personāls ir nodarbināts projektā uz darba līguma pamata, kas attiecināmas uz šo noteikumu </w:t>
            </w:r>
            <w:r w:rsidR="00000000" w:rsidRPr="00000000" w:rsidDel="00000000">
              <w:rPr>
                <w:rtl w:val="0"/>
              </w:rPr>
              <w:t xml:space="preserve">36.3. </w:t>
            </w:r>
            <w:r w:rsidR="00000000" w:rsidRPr="00000000" w:rsidDel="00000000">
              <w:rPr>
                <w:rtl w:val="0"/>
              </w:rPr>
              <w:t xml:space="preserve">apakšpunktā</w:t>
            </w:r>
            <w:r w:rsidR="00000000" w:rsidRPr="00000000" w:rsidDel="00000000">
              <w:rPr>
                <w:rtl w:val="0"/>
              </w:rPr>
              <w:t xml:space="preserve"> minēto darbību. Ja personāls ir nodarbināts normālu darba laiku, darba vietas aprīkojuma iegādes vai nomas izmaksas ir attiecināmas 100 procentu apmērā. Ja personāls ir nodarbināts nepilnu darba laiku vai saskaņā ar daļlaika attiecināmības principu, darba vietas aprīkojuma iegādes vai nomas izmaksas ir attiecināmas proporcionāli darba slodzes procentuālajam sadalījumam. Ja personāls ir nodarbināts saskaņā ar daļlaika attiecināmības principu darba vietas aprīkojuma iegādes vai nomas izmaksas ir attiecināmas proporcionāli darba slodzes procentuālajam sadalījumam un ņemot vērā darbinieka iesaistes periodu projektā pret projekta kopējo īstenošanas ilgumu;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kā minētās izmaksas par jaunradīto darba vietu ir saistītas ar gala labuma guvēju atbalsta mērķi.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Baranovska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 Šo noteikumu </w:t>
            </w:r>
            <w:r w:rsidR="00000000" w:rsidRPr="00000000" w:rsidDel="00000000">
              <w:rPr>
                <w:rtl w:val="0"/>
              </w:rPr>
              <w:t xml:space="preserve">44. </w:t>
            </w:r>
            <w:r w:rsidR="00000000" w:rsidRPr="00000000" w:rsidDel="00000000">
              <w:rPr>
                <w:rtl w:val="0"/>
              </w:rPr>
              <w:t xml:space="preserve">punktā</w:t>
            </w:r>
            <w:r w:rsidR="00000000" w:rsidRPr="00000000" w:rsidDel="00000000">
              <w:rPr>
                <w:rtl w:val="0"/>
              </w:rPr>
              <w:t xml:space="preserve"> minētās neparedzētās izmaksas projektā plāno kā vienu izdevumu pozīciju. Neparedzētās izmaksas nepārsniedz divus procentus no šo noteikumu ietvaros minētajām tiešajām attiecināmajām izmaksām, un to izlietošanu finansējuma saņēmējs saskaņo ar sadarbības iestādi, ievērojot vienošanos par projekta īstenošanu.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izslēgt iespēju, ka neparedzētās izmaksas jāsaskaņo ar sadarbības iestādi. Izmaksu izlietošanu atbilstoši mērķim tiks pārbaudīta pie maksājuma pieprasījuma pārbaudes.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Baranovska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 Pasākuma ietvaros ir attiecināmas netiešās projekta īstenošanas izmaksas šo noteikumu </w:t>
            </w:r>
            <w:r w:rsidR="00000000" w:rsidRPr="00000000" w:rsidDel="00000000">
              <w:rPr>
                <w:rtl w:val="0"/>
              </w:rPr>
              <w:t xml:space="preserve">34.1.</w:t>
            </w:r>
            <w:r w:rsidR="00000000" w:rsidRPr="00000000" w:rsidDel="00000000">
              <w:rPr>
                <w:rtl w:val="0"/>
              </w:rPr>
              <w:t xml:space="preserve">, </w:t>
            </w:r>
            <w:r w:rsidR="00000000" w:rsidRPr="00000000" w:rsidDel="00000000">
              <w:rPr>
                <w:rtl w:val="0"/>
              </w:rPr>
              <w:t xml:space="preserve">34.2.</w:t>
            </w:r>
            <w:r w:rsidR="00000000" w:rsidRPr="00000000" w:rsidDel="00000000">
              <w:rPr>
                <w:rtl w:val="0"/>
              </w:rPr>
              <w:t xml:space="preserve">, </w:t>
            </w:r>
            <w:r w:rsidR="00000000" w:rsidRPr="00000000" w:rsidDel="00000000">
              <w:rPr>
                <w:rtl w:val="0"/>
              </w:rPr>
              <w:t xml:space="preserve">35.1.</w:t>
            </w:r>
            <w:r w:rsidR="00000000" w:rsidRPr="00000000" w:rsidDel="00000000">
              <w:rPr>
                <w:rtl w:val="0"/>
              </w:rPr>
              <w:t xml:space="preserve">, </w:t>
            </w:r>
            <w:r w:rsidR="00000000" w:rsidRPr="00000000" w:rsidDel="00000000">
              <w:rPr>
                <w:rtl w:val="0"/>
              </w:rPr>
              <w:t xml:space="preserve">35.2.</w:t>
            </w:r>
            <w:r w:rsidR="00000000" w:rsidRPr="00000000" w:rsidDel="00000000">
              <w:rPr>
                <w:rtl w:val="0"/>
              </w:rPr>
              <w:t xml:space="preserve">​​​​​, </w:t>
            </w:r>
            <w:r w:rsidR="00000000" w:rsidRPr="00000000" w:rsidDel="00000000">
              <w:rPr>
                <w:rtl w:val="0"/>
              </w:rPr>
              <w:t xml:space="preserve">36.1.</w:t>
            </w:r>
            <w:r w:rsidR="00000000" w:rsidRPr="00000000" w:rsidDel="00000000">
              <w:rPr>
                <w:rtl w:val="0"/>
              </w:rPr>
              <w:t xml:space="preserve"> un </w:t>
            </w:r>
            <w:r w:rsidR="00000000" w:rsidRPr="00000000" w:rsidDel="00000000">
              <w:rPr>
                <w:rtl w:val="0"/>
              </w:rPr>
              <w:t xml:space="preserve">36.2.</w:t>
            </w:r>
            <w:r w:rsidR="00000000" w:rsidRPr="00000000" w:rsidDel="00000000">
              <w:rPr>
                <w:rtl w:val="0"/>
              </w:rPr>
              <w:t xml:space="preserve"> minēto darbību veikšanai. Netiešās attiecināmās izmaksas finansējuma saņēmējs plāno kā vienu izmaksu pozīciju, piemērojot netiešo izmaksu vienoto likmi 15 procentu apmērā no šo noteikumu 381., 39.7. un 40.6. apakšpunktā norādītājām tiešajām attiecināmajām personāla izmaksām saskaņā ar Regulas Nr. 2021/1060 54. panta pirmās daļas "b" apakšpunktu.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saprotams, kādēļ projekta vadības un īstenošanas darbību nodrošināšanai tiek paredzētas netiešās izmaksas, ja projekta vadībai un īstenošanai tiek paredzētas atsevišķas tiešo izmaksu pozīcijas. Lūdzam precizēt, jo netiešajām izmaksām nebūtu jābūt sasaistītām ar konkrētu darbību nodrošināšanu, kuru īstenošanai turklāt ir paredzētas tiešo izmaksu pozīcijas.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Baranovska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 Pasākuma ietvaros ir attiecināmas netiešās projekta īstenošanas izmaksas šo noteikumu </w:t>
            </w:r>
            <w:r w:rsidR="00000000" w:rsidRPr="00000000" w:rsidDel="00000000">
              <w:rPr>
                <w:rtl w:val="0"/>
              </w:rPr>
              <w:t xml:space="preserve">34.1.</w:t>
            </w:r>
            <w:r w:rsidR="00000000" w:rsidRPr="00000000" w:rsidDel="00000000">
              <w:rPr>
                <w:rtl w:val="0"/>
              </w:rPr>
              <w:t xml:space="preserve">, </w:t>
            </w:r>
            <w:r w:rsidR="00000000" w:rsidRPr="00000000" w:rsidDel="00000000">
              <w:rPr>
                <w:rtl w:val="0"/>
              </w:rPr>
              <w:t xml:space="preserve">34.2.</w:t>
            </w:r>
            <w:r w:rsidR="00000000" w:rsidRPr="00000000" w:rsidDel="00000000">
              <w:rPr>
                <w:rtl w:val="0"/>
              </w:rPr>
              <w:t xml:space="preserve">, </w:t>
            </w:r>
            <w:r w:rsidR="00000000" w:rsidRPr="00000000" w:rsidDel="00000000">
              <w:rPr>
                <w:rtl w:val="0"/>
              </w:rPr>
              <w:t xml:space="preserve">35.1.</w:t>
            </w:r>
            <w:r w:rsidR="00000000" w:rsidRPr="00000000" w:rsidDel="00000000">
              <w:rPr>
                <w:rtl w:val="0"/>
              </w:rPr>
              <w:t xml:space="preserve">, </w:t>
            </w:r>
            <w:r w:rsidR="00000000" w:rsidRPr="00000000" w:rsidDel="00000000">
              <w:rPr>
                <w:rtl w:val="0"/>
              </w:rPr>
              <w:t xml:space="preserve">35.2.</w:t>
            </w:r>
            <w:r w:rsidR="00000000" w:rsidRPr="00000000" w:rsidDel="00000000">
              <w:rPr>
                <w:rtl w:val="0"/>
              </w:rPr>
              <w:t xml:space="preserve">​​​​​, </w:t>
            </w:r>
            <w:r w:rsidR="00000000" w:rsidRPr="00000000" w:rsidDel="00000000">
              <w:rPr>
                <w:rtl w:val="0"/>
              </w:rPr>
              <w:t xml:space="preserve">36.1.</w:t>
            </w:r>
            <w:r w:rsidR="00000000" w:rsidRPr="00000000" w:rsidDel="00000000">
              <w:rPr>
                <w:rtl w:val="0"/>
              </w:rPr>
              <w:t xml:space="preserve"> un </w:t>
            </w:r>
            <w:r w:rsidR="00000000" w:rsidRPr="00000000" w:rsidDel="00000000">
              <w:rPr>
                <w:rtl w:val="0"/>
              </w:rPr>
              <w:t xml:space="preserve">36.2.</w:t>
            </w:r>
            <w:r w:rsidR="00000000" w:rsidRPr="00000000" w:rsidDel="00000000">
              <w:rPr>
                <w:rtl w:val="0"/>
              </w:rPr>
              <w:t xml:space="preserve"> minēto darbību veikšanai. Netiešās attiecināmās izmaksas finansējuma saņēmējs plāno kā vienu izmaksu pozīciju, piemērojot netiešo izmaksu vienoto likmi 15 procentu apmērā no šo noteikumu 381., 39.7. un 40.6. apakšpunktā norādītājām tiešajām attiecināmajām personāla izmaksām saskaņā ar Regulas Nr. 2021/1060 54. panta pirmās daļas "b" apakšpunktu.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 punkts ietver nekorektas atsauces uz MK noteikumu apakšpunktiem. Lūdzu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Baranovska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Sadarbības iestāde piešķir de minimis atbalstu ESA BIC Latvia saskaņā ar Komisijas regulu Nr. 2023/2831 un normatīvajiem aktiem par de minimis atbalsta uzskaites un piešķiršanas kārtību un de minimis atbalsta uzskaites veidlapu paraugiem. Sadarbības iestāde pieņem lēmumu par finansējuma piešķiršanu. Lēmuma pieņemšanas diena ir uzskatāma par komercdarbības atbalsta piešķiršanas brīdi.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pasākuma ietvaros plānots piešķirt de minimis atbalstu ESA BIC Latvia saskaņā ar Komisijas regulu Nr. 2023/2831 un normatīvajiem aktiem par de minimis atbalsta uzskaites un piešķiršanas kārtību un de minimis atbalsta uzskaites veidlapu paraugiem, lūdzam papildināt noteikumus ar attiecīgajiem nosacījumiem de minimis atbalsta piešķiršanai arī attiecībā uz ESA BIC Latvia. Papildus lūdzam precizēt arī skaidrojumu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 Ja gala labuma guvējam pārkāp Komisijas regulas Nr. 2023/2831 prasības, ESA BIC latvia ir pienākums atmaksāt Sadarbības iestādei visu saņemto nelikumīgo de minimis atbalstu kopā ar procentiem no līdzekļiem, kas brīvi no komercdarbības atbalsta, atbilstoši Komercdarbības atbalsta kontroles likuma IV vai V nodaļas nosacījumiem. ESA BIC Latvia var pieprasīt gala labuma guvējam atmaksāt piešķirto nelikumīgo atbalstu.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nosakot, ka identisks pienākums atmaksāt Sadarbības iestādei visu nelikumīgi saņemto de minimis atbalstu ir arī LIAA gala saņēmējiem sniegtā atbalsta gadījumā.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Baranovska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sadaļā "1 (Vispārīgie nosacījumi)" norādītie finansējumi nesakrīt ar MKN projekta 11. un 13.punktu.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Aveniņa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finansējuma saņēmējs – pasākuma ietvaros tās ir valsts tiešās pārvaldes iestādes un sabiedrība ar ierobežotu atbildību;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svītrot noteikumu projekta 2.2.apakšpunktu, ievērojot, ka minētais jau ir noteikts noteikumu projekta 16. un 17.punktā, un ka atbilstoši Ministru kabineta 2009.gada 3.februāra noteikumu Nr.108  "Normatīvo aktu projektu sagatavošanas noteikumi" 3.3.apakšpunktam normatīvā akta projektā neietver normas, kas dublē pašā normatīvā akta projektā ietverto normatīvo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aicinām izteikt noteikumu projekta 16.punktu piedāvātajā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Projekta iesniedzēji pasākuma ietvaros ir tiešās pārvaldes iestādes, kuru darbības mērķis ir sekmēt Latvijas uzņēmumu konkurētspēju un eksportspēju starptautiskajos tirgos, veicināt biznesa ideju attīstību un uzņēmumu rašanos, zināšanu ietilpīgu preču un pakalpojumu attīstību uzņēmumos, eksportu un ārvalstu investīciju apjoma pieaugumu, kā arī īstenot valsts politiku inovāciju jomā un veicināt pozitīvu Latvijas starptautisko atpazīstamību, kas ir noslēgušas vienošanos ar sadarbības iestādi, – EM, LIAA, kā arī sabiedrība ar ierobežotu atbildību – ESA BIC Latvia.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Morgana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Pasākuma ietvaros plānotais kopējais attiecināmais finansējums ir 6 127 804 euro, tai skaitā elastības finansējuma apjoms 966 510 euro, tai skaitā ERAF finansējums 5 208 633 euro, tai skaitā elastības finansējuma apjoms 821 533 euro, un valsts budžeta līdzfinansējums 919 171 euro, tai skaitā elastības finansējuma apjoms 144 977 euro.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salāgot informāciju par pasākumā plānoto finansējumu ar anotācijas 1.3. punktā "Pašreizējā situācija, problēmas un risinājumi" sadaļā "(1) Vispārīgie nosacījumi" norādīto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Maija Upeniece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Pasākumam pieejamais kopējais attiecināmais finansējums bez elastības finansējuma sadalās šādi: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salāgot noteikumu projekta 13. punktā norādīto finansējuma sadalījumu starp finansējuma saņēmējiem ar anotācijas 1.3. punktā "Pašreizējā situācija, problēmas un risinājumi" sadaļā "Risinājuma apraksts" norādīto informāciju.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Maija Upeniece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13.2. Latvijas Investīcijas un attīstības aģentūras (turpmāk – LIAA) pieejamais finansējums ir 3 173 401 euro, tai skaitā ERAF finansējums 2 697 425 euro un valsts budžeta līdzfinansējums 476 017 euro;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13.2.apakšpunktā precizēt Latvijas Investīcijas un attīstības aģentūrai pieejamā finansējuma kopsummu, jo šobrīd ERAF finansējums un valsts budžeta līdzfinansējums kopā neveido 3 173 401 euro.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Šo noteikuma </w:t>
            </w:r>
            <w:r w:rsidR="00000000" w:rsidRPr="00000000" w:rsidDel="00000000">
              <w:rPr>
                <w:rtl w:val="0"/>
              </w:rPr>
              <w:t xml:space="preserve">42. </w:t>
            </w:r>
            <w:r w:rsidR="00000000" w:rsidRPr="00000000" w:rsidDel="00000000">
              <w:rPr>
                <w:rtl w:val="0"/>
              </w:rPr>
              <w:t xml:space="preserve">punktā</w:t>
            </w:r>
            <w:r w:rsidR="00000000" w:rsidRPr="00000000" w:rsidDel="00000000">
              <w:rPr>
                <w:rtl w:val="0"/>
              </w:rPr>
              <w:t xml:space="preserve"> minēto izmaksu segšanai pieejamais finansējums ir 842 275 euro, tai skaitā ERAF finansējums 715 934 euro un valsts budžeta līdzfinansējums 126 341 euro no šo noteikumu </w:t>
            </w:r>
            <w:r w:rsidR="00000000" w:rsidRPr="00000000" w:rsidDel="00000000">
              <w:rPr>
                <w:rtl w:val="0"/>
              </w:rPr>
              <w:t xml:space="preserve">13.2. </w:t>
            </w:r>
            <w:r w:rsidR="00000000" w:rsidRPr="00000000" w:rsidDel="00000000">
              <w:rPr>
                <w:rtl w:val="0"/>
              </w:rPr>
              <w:t xml:space="preserve">apakšpunktā</w:t>
            </w:r>
            <w:r w:rsidR="00000000" w:rsidRPr="00000000" w:rsidDel="00000000">
              <w:rPr>
                <w:rtl w:val="0"/>
              </w:rPr>
              <w:t xml:space="preserve"> minētā finansējuma.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atsauci uz MK noteikumu punktu - izmaksu segšanai pieejamais finansējums ir norādīts šo noteikumu 41. 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Baranovska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24.11. iesniegt sadarbības iestādei apstiprināšanai starpposma un noslēguma maksājuma pieprasījumu atbilstoši līgumam, ko veic, pamatojoties uz projektā veiktajiem izdevumiem ne biežāk kā reizi ceturksnī, tai skaitā par veiktajiem priekšfinansējuma maksājumiem, saskaņā ar vienošanos par projekta īstenošanu un šo noteikumu </w:t>
            </w:r>
            <w:r w:rsidR="00000000" w:rsidRPr="00000000" w:rsidDel="00000000">
              <w:rPr>
                <w:rtl w:val="0"/>
              </w:rPr>
              <w:t xml:space="preserve">9. </w:t>
            </w:r>
            <w:r w:rsidR="00000000" w:rsidRPr="00000000" w:rsidDel="00000000">
              <w:rPr>
                <w:rtl w:val="0"/>
              </w:rPr>
              <w:t xml:space="preserve">punktā</w:t>
            </w:r>
            <w:r w:rsidR="00000000" w:rsidRPr="00000000" w:rsidDel="00000000">
              <w:rPr>
                <w:rtl w:val="0"/>
              </w:rPr>
              <w:t xml:space="preserve"> sasniegtajiem rādītājiem;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visiem finansējuma saņēmējiem noteikt maksājumu pieprasījumu iesniegšanas termiņu ne biežāk kā reizi sešos mēnešos, ņemot vērā, ka ESA BIC Latvia ir pieejams avansa maksājums, un LIAA un EM ir valsts budžeta iestādes.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Baranovska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28.5. iesniegt sadarbības iestādei apstiprināšanai starpposma maksājumus, ko veic, pamatojoties uz projektā veiktajiem izdevumiem ne biežāk kā reizi ceturksnī, tai skaitā par veiktajiem avansa maksājumiem, saskaņā ar vienošanos par projekta īstenošanu un šo noteikumu </w:t>
            </w:r>
            <w:r w:rsidR="00000000" w:rsidRPr="00000000" w:rsidDel="00000000">
              <w:rPr>
                <w:rtl w:val="0"/>
              </w:rPr>
              <w:t xml:space="preserve">9. </w:t>
            </w:r>
            <w:r w:rsidR="00000000" w:rsidRPr="00000000" w:rsidDel="00000000">
              <w:rPr>
                <w:rtl w:val="0"/>
              </w:rPr>
              <w:t xml:space="preserve">punktā</w:t>
            </w:r>
            <w:r w:rsidR="00000000" w:rsidRPr="00000000" w:rsidDel="00000000">
              <w:rPr>
                <w:rtl w:val="0"/>
              </w:rPr>
              <w:t xml:space="preserve"> sasniegtajiem rādītājiem;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noteikt maksājumu pieprasījumu iesniegšanas termiņu ne biežāk kā reizi sešos mēnešos.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Baranovska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34.3. komunikācijas un vizuālās identitātes prasību pasākumu nodrošināšana, ievērojot nediskriminācijas principus (informācijas un publicitātes pasākumu nodrošināšana saskaņā ar saistošo normatīvo aktu un citu dokumentu noteiktajām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34.3., 35.3. un 36.5.apakšpunktā svītrot informāciju iekavās, ņemot vērā, ka noteikumu projekta 53.2.apakšpunkts jau paredz finansējuma saņēmēja pienākumu nodrošināt komunikācijas un vizuālās identitātes pasākumus saskaņā ar Eiropas Parlamenta un Padomes 2021. gada 24. jūnija Regulas (ES)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47. un 50. pantu un normatīvo aktu par kārtību, kādā Eiropas Savienības fondu vadībā iesaistītās institūcijas nodrošina šo fondu ieviešanu 2021.–2027.gada plānošanas periodā, kā arī Eiropas Savienības fondu 2021.–2027. gada plānošanas perioda un Atveseļošanas fonda komunikācijas un dizaina vadlīnijām.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34.3. komunikācijas un vizuālās identitātes prasību pasākumu nodrošināšana, ievērojot nediskriminācijas principus;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Morgana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37.1. projekta vadības un projekta īstenošanas personāla atlīdzības izmaksas (izņemot virsstundas), tai skaitā valsts sociālās apdrošināšanas obligātās iemaksas no apliekamajām attiecināmajām izmaksām šo noteikumu  </w:t>
            </w:r>
            <w:r w:rsidR="00000000" w:rsidRPr="00000000" w:rsidDel="00000000">
              <w:rPr>
                <w:rtl w:val="0"/>
              </w:rPr>
              <w:t xml:space="preserve">35. </w:t>
            </w:r>
            <w:r w:rsidR="00000000" w:rsidRPr="00000000" w:rsidDel="00000000">
              <w:rPr>
                <w:rtl w:val="0"/>
              </w:rPr>
              <w:t xml:space="preserve">punktā</w:t>
            </w:r>
            <w:r w:rsidR="00000000" w:rsidRPr="00000000" w:rsidDel="00000000">
              <w:rPr>
                <w:rtl w:val="0"/>
              </w:rPr>
              <w:t xml:space="preserve"> minēto atbalstāmo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salāgotu ar Eiropas Parlamenta un Padomes 2021. gada 24. jūnija Regulā (ES)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lietoto terminoloģiju, vārdus "personāla atlīdzības izmaksām" lūdzam aizstāt ar vārdiem "personāla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dzēst piebildi "tai skaitā valsts sociālās apdrošināšanas obligātās iemaksas no apliekamajām attiecināmajām izmaksām', jo tas ietilpst personāla izmaksās.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37.1. projekta vadības un projekta īstenošanas </w:t>
            </w:r>
            <w:r w:rsidR="00000000" w:rsidRPr="00000000" w:rsidDel="00000000">
              <w:rPr>
                <w:b w:val="1"/>
                <w:rtl w:val="0"/>
              </w:rPr>
              <w:t xml:space="preserve">personāla izmaksas</w:t>
            </w:r>
            <w:r w:rsidR="00000000" w:rsidRPr="00000000" w:rsidDel="00000000">
              <w:rPr>
                <w:rtl w:val="0"/>
              </w:rPr>
              <w:t xml:space="preserve"> (izņemot virsstundas) šo noteikumu  35. punktā minēto atbalstāmo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37.1.1. projektiem, kuru tiešās attiecināmās izmaksas pārsniedz 5 000 000 euro, maksimālais ierobežojums Eiropas Reģionālās attīstības fonda finansējuma daļai tiešajām projekta vadības personāla izmaksām nepārsniedz 84 787 euro kalendāra gadā;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MK noteikumiem, nevienam projektam nav paredzētas attiecināmās izmaksas virs 5 000 000 EUR. Lūdzam dzēst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Baranovska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37.8. pakalpojumu vai uzņēmuma līgumu izmaksas </w:t>
            </w:r>
            <w:r w:rsidR="00000000" w:rsidRPr="00000000" w:rsidDel="00000000">
              <w:rPr>
                <w:rtl w:val="0"/>
              </w:rPr>
              <w:t xml:space="preserve">35.6.</w:t>
            </w:r>
            <w:r w:rsidR="00000000" w:rsidRPr="00000000" w:rsidDel="00000000">
              <w:rPr>
                <w:rtl w:val="0"/>
              </w:rPr>
              <w:t xml:space="preserve"> un </w:t>
            </w:r>
            <w:r w:rsidR="00000000" w:rsidRPr="00000000" w:rsidDel="00000000">
              <w:rPr>
                <w:rtl w:val="0"/>
              </w:rPr>
              <w:t xml:space="preserve">35.7.</w:t>
            </w:r>
            <w:r w:rsidR="00000000" w:rsidRPr="00000000" w:rsidDel="00000000">
              <w:rPr>
                <w:rtl w:val="0"/>
              </w:rPr>
              <w:t xml:space="preserve">35.8. </w:t>
            </w:r>
            <w:r w:rsidR="00000000" w:rsidRPr="00000000" w:rsidDel="00000000">
              <w:rPr>
                <w:rtl w:val="0"/>
              </w:rPr>
              <w:t xml:space="preserve">apakšpunktā</w:t>
            </w:r>
            <w:r w:rsidR="00000000" w:rsidRPr="00000000" w:rsidDel="00000000">
              <w:rPr>
                <w:rtl w:val="0"/>
              </w:rPr>
              <w:t xml:space="preserve"> minēto atbalstāmo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Ārējo ekspertu piesaistes izmaksas 35.8. apakšpunktā minēto atbalstāmo darbību īstenošanai jau  paredzētas 37.5. apakšpunktā, lūdzam nedublēt.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Baranovska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40.6. projekta vadības un projekta īstenošanas personāla izmaksas (izņemot virsstundas), tai skaitā valsts sociālās apdrošināšanas obligātās iemaksas no apliekamajām attiecināmajām izmaksām šo noteikumu </w:t>
            </w:r>
            <w:r w:rsidR="00000000" w:rsidRPr="00000000" w:rsidDel="00000000">
              <w:rPr>
                <w:rtl w:val="0"/>
              </w:rPr>
              <w:t xml:space="preserve">36. </w:t>
            </w:r>
            <w:r w:rsidR="00000000" w:rsidRPr="00000000" w:rsidDel="00000000">
              <w:rPr>
                <w:rtl w:val="0"/>
              </w:rPr>
              <w:t xml:space="preserve">punktā</w:t>
            </w:r>
            <w:r w:rsidR="00000000" w:rsidRPr="00000000" w:rsidDel="00000000">
              <w:rPr>
                <w:rtl w:val="0"/>
              </w:rPr>
              <w:t xml:space="preserve"> minēto atbalstāmo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40.6.apakšpunktā vārdus "tai skaitā valsts sociālās apdrošināšanas obligātās iemaksas no apliekamajām attiecināmajām izmaksām", jo tas ietilpst personāla izmaksās.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40.6. projekta vadības un projekta īstenošanas personāla izmaksas (izņemot virsstundas) šo noteikumu 36. punktā minēto atbalstāmo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40.6.1. projektiem, kuru tiešās attiecināmās izmaksas pārsniedz 5 000 000 euro, maksimālais ierobežojums Eiropas Reģionālās attīstības fonda finansējuma daļai tiešajām projekta vadības personāla izmaksām nepārsniedz 84 787 euro kalendāra gadā;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MK noteikumiem, nevienam projektam nav paredzētas attiecināmās izmaksas virs 5 000 000 EUR. Lūdzam dzēst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Baranovska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41.1.1. projekta vadības un projekta īstenošanas personāla izmaksas (izņemot virsstundas), tai skaitā valsts sociālās apdrošināšanas obligātās iemaksas no apliekamajām attiecināmajām izmaksām;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41.1.1.punktā vārdus "tai skaitā valsts sociālās apdrošināšanas obligātās iemaksas no apliekamajām attiecināmajām izmaksām", jo tas ietilpst personāla izmaksās.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41.1.1. projekta vadības un projekta īstenošanas personāla izmaksas (izņemot virsstundas);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41.1.3. projektiem, kuru tiešās attiecināmās izmaksas pārsniedz 5 000 000 euro, maksimālais ierobežojums Eiropas Reģionālās attīstības fonda finansējuma daļai tiešajām projekta vadības personāla izmaksām nepārsniedz 84 787 euro kalendāra gadā;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dzēst, ņemot vērā gala labuma guvēju maksimālo iespējamo atbalsta summu 30 000 EUR apmērā.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Baranovska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 Pasākuma ietvaros ir attiecināmas netiešās projekta īstenošanas izmaksas šo noteikumu </w:t>
            </w:r>
            <w:r w:rsidR="00000000" w:rsidRPr="00000000" w:rsidDel="00000000">
              <w:rPr>
                <w:rtl w:val="0"/>
              </w:rPr>
              <w:t xml:space="preserve">34.1.</w:t>
            </w:r>
            <w:r w:rsidR="00000000" w:rsidRPr="00000000" w:rsidDel="00000000">
              <w:rPr>
                <w:rtl w:val="0"/>
              </w:rPr>
              <w:t xml:space="preserve">, </w:t>
            </w:r>
            <w:r w:rsidR="00000000" w:rsidRPr="00000000" w:rsidDel="00000000">
              <w:rPr>
                <w:rtl w:val="0"/>
              </w:rPr>
              <w:t xml:space="preserve">34.2.</w:t>
            </w:r>
            <w:r w:rsidR="00000000" w:rsidRPr="00000000" w:rsidDel="00000000">
              <w:rPr>
                <w:rtl w:val="0"/>
              </w:rPr>
              <w:t xml:space="preserve">, </w:t>
            </w:r>
            <w:r w:rsidR="00000000" w:rsidRPr="00000000" w:rsidDel="00000000">
              <w:rPr>
                <w:rtl w:val="0"/>
              </w:rPr>
              <w:t xml:space="preserve">35.1.</w:t>
            </w:r>
            <w:r w:rsidR="00000000" w:rsidRPr="00000000" w:rsidDel="00000000">
              <w:rPr>
                <w:rtl w:val="0"/>
              </w:rPr>
              <w:t xml:space="preserve">, </w:t>
            </w:r>
            <w:r w:rsidR="00000000" w:rsidRPr="00000000" w:rsidDel="00000000">
              <w:rPr>
                <w:rtl w:val="0"/>
              </w:rPr>
              <w:t xml:space="preserve">35.2.</w:t>
            </w:r>
            <w:r w:rsidR="00000000" w:rsidRPr="00000000" w:rsidDel="00000000">
              <w:rPr>
                <w:rtl w:val="0"/>
              </w:rPr>
              <w:t xml:space="preserve">​​​​​, </w:t>
            </w:r>
            <w:r w:rsidR="00000000" w:rsidRPr="00000000" w:rsidDel="00000000">
              <w:rPr>
                <w:rtl w:val="0"/>
              </w:rPr>
              <w:t xml:space="preserve">36.1.</w:t>
            </w:r>
            <w:r w:rsidR="00000000" w:rsidRPr="00000000" w:rsidDel="00000000">
              <w:rPr>
                <w:rtl w:val="0"/>
              </w:rPr>
              <w:t xml:space="preserve"> un </w:t>
            </w:r>
            <w:r w:rsidR="00000000" w:rsidRPr="00000000" w:rsidDel="00000000">
              <w:rPr>
                <w:rtl w:val="0"/>
              </w:rPr>
              <w:t xml:space="preserve">36.2.</w:t>
            </w:r>
            <w:r w:rsidR="00000000" w:rsidRPr="00000000" w:rsidDel="00000000">
              <w:rPr>
                <w:rtl w:val="0"/>
              </w:rPr>
              <w:t xml:space="preserve"> minēto darbību veikšanai. Netiešās attiecināmās izmaksas finansējuma saņēmējs plāno kā vienu izmaksu pozīciju, piemērojot netiešo izmaksu vienoto likmi 15 procentu apmērā no šo noteikumu 381., 39.7. un 40.6. apakšpunktā norādītājām tiešajām attiecināmajām personāla izmaksām saskaņā ar Regulas Nr. 2021/1060 54. panta pirmās daļas "b" apakšpunktu.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46.punktā atsauces uz noteikumu projekta apakšpunktiem, no kā tiek aprēķināta netiešo izmaksu vienotā likme.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 Pasākuma ietvaros ir attiecināmas netiešās projekta īstenošanas izmaksas šo noteikumu 34.1., 34.2., 35.1., 35.2., 36.1. un 36.2. minēto darbību veikšanai. Netiešās attiecināmās izmaksas finansējuma saņēmējs plāno kā vienu izmaksu pozīciju, piemērojot netiešo izmaksu vienoto likmi 15 procentu apmērā no šo noteikumu 37.1., 39.7. un 40.6. apakšpunktā norādītājām tiešajām attiecināmajām personāla izmaksām saskaņā ar Regulas Nr. 2021/1060 54. panta pirmās daļas "b" apakšpunktu.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58.4. alkohola tirdzniecībai (NACE 2. red. grupa 46.34 "Dzērienu vairumtirdzniecība" un grupa 47.25 "Alkoholisko un citu dzērienu mazumtirdzniecība specializētajos veikalos");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neatbalstāmo nozari un darbību ar "alkohola tirdzniecībai un ražošanai", attiecīgi nepieciešamības gadījumā papildinot arī NACE kodu uzskaitījumu.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Baranovska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 pasākuma ieviešanas RIS3 pārvaldības modeļa darbība Ekonomikas ministrija turpinās un pilnveidos no saviem līdzekļiem.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salāgot noteikumu projekta 59. un 60. punktu vai vienu no tiem svītrot, ņemot vērā, ka tie ir savstarpējā pretrunā. Vēršam uzmanību, ka anotācijā norādīts, ka Ekonomikas ministrija pēc pasākuma ieviešanas turpinās un pilnveidos RIS3 pārvaldības modeļa darbību atbilstoši valsts budžetā šim mērķim paredzētajam finansējumam.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Maija Upeniece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 pasākuma ieviešanas RIS3 pārvaldības modeļa darbība Ekonomikas ministrija turpinās un pilnveidos no saviem līdzekļiem.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60.punktu, ievērojot, ka noteikumu projekta 59.punkts jau paredz, ka Ekonomikas ministrija pēc pasākuma ieviešanas turpinās un pilnveidos RIS3 pārvaldības modeļa darbību atbilstoši valsts budžetā šim mērķim paredzētajam finansējumam.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1.3.sadaļas rindkopā "Iekšzemes komandējumu un transporta pakalpojuma izmaksām, kas minētas šo noteikumu 38.2., 40.2., un 41.2. apakšpunktos, finansējuma saņēmējs piemēro vadošās iestādes izstrādātās metodikas "Vienas vienības izmaksu standarta likmes aprēķina un piemērošanas metodika 1 km izmaksām darbības programmas “Izaugsme un nodarbinātība” un Eiropas Savienības kohēzijas politikas programmas 2021.–2027.gadam  īstenošanai" un "Vienas vienības izmaksu standarta likmes aprēķina un piemērošanas metodika iekšzemes komandējumu izmaksām darbības programmas “Izaugsme un nodarbinātība” īstenošanai"",  salāgot informāciju ar noteikumu projekta 53.9. apakšpunktā minēto.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atrodama informācija, ka "EM izvērtēs iespēju  arī turpmākās ekosistēmas nepieciešamās izmaiņas piefiksēt dokumentāli, ja tas būs iespējams", kā tas norādīts izziņā.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Aveniņa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1.3.sadaļa precizēt informāciju par pasākuma ietvaros plānoto un pieejamo finansējumu, lai tā sakrīt ar noteikumu projekta 11.punktā paredzēto.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1.3.sadaļa norādīts, ka Ekonomikas ministrija pēc pasākuma ieviešanas turpinās un pilnveidos RIS3 pārvaldības modeļa darbību atbilstoši valsts budžetā šim mērķim paredzētajam finansējumam. Lūdzam papildināt anotācijas sadaļu ar pamatojumu attiecīgā noteikumu projekta 59.punkta iekļaušanai.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3.sadaļā precizēto finansiālo ietekmi atspoguļot arī 5.1.apakšpunktā un 6.punktā svītrot informāciju, ka projektus plānots ieviest no 2024. gada I ceturkšņa, ņemot vērā, ka šobrīd jau ir 2024.gada vidus.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23-TA-2071</w:t>
    </w:r>
    <w:r>
      <w:br/>
    </w:r>
    <w:r w:rsidR="00000000" w:rsidRPr="00000000" w:rsidDel="00000000">
      <w:rPr>
        <w:rtl w:val="0"/>
      </w:rPr>
      <w:t xml:space="preserve">Izdrukāts 07.06.2024. 12.31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23-TA-2071</w:t>
    </w:r>
    <w:r>
      <w:br/>
    </w:r>
    <w:r w:rsidR="00000000" w:rsidRPr="00000000" w:rsidDel="00000000">
      <w:rPr>
        <w:rtl w:val="0"/>
      </w:rPr>
      <w:t xml:space="preserve">Izdrukāts 07.06.2024. 12.31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Atzinumi_23-TA-2071.docx</dc:title>
</cp:coreProperties>
</file>

<file path=docProps/custom.xml><?xml version="1.0" encoding="utf-8"?>
<Properties xmlns="http://schemas.openxmlformats.org/officeDocument/2006/custom-properties" xmlns:vt="http://schemas.openxmlformats.org/officeDocument/2006/docPropsVTypes"/>
</file>