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"Digitālās desmitgades stratēģiskais ceļvedis Latvijai līdz 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ietekmi uz vispārējās valdības budžeta bilanci, informatīvo ziņojumu nepieciešams papildināt ar detalizētu informāciju par  pasākumu finansējuma avotiem un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4.3.2. tabulā sniegto informāciju attiecībā uz ERAF investīcijas sasniedzamajiem rādītajiem (līdz 2029. gada 31. decembrim 3100 mājsaimniecību, uzņēmumu, izglītības iestāžu, ārstniecības iestāžu un citu sabiedrisko ēku skaits, kam ir piekļuve platjoslas savienojumiem ar ļoti augstas veiktspējas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apstiprinātajai Kohēzijas programmas 2021.-2027. gadam 1.4.1.1. pasākuma "Platjoslas infrastruktūras attīstība ietvaros ir plānots sasniegt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mājokļi ar piekļuvi ļoti augstas veiktspējas platjoslas tīklam 3 880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uzņēmumi ar piekļuvi ļoti augstas veiktspējas platjoslas tīklam 1 000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Mājokļi, kas abonē platjoslas pieslēgumu ļoti augstas veiktspējas tīklam 1 940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abonē platjoslas pieslēgumu ļoti augstas veiktspējas tīklam 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4.3.2. tabulā sniegto informāciju. Informējam, ka Kohēzijas programmas 2021.-2027. gada, 1.4.1.2. pasākumam "5G infrastruktūras izbūve, VIA Baltica un Rail Baltica" ir plānots piešķirt 10 722 750 euro (ERAF ar elastības finansējumu). Šobrīd tabulā iekļautā informācija paredz, ka minētā pasākuma fondu finansējums ir 4,35 milj.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4.sadaļā " Gigabitu savienojamība un 5G pārklājums" sniegto informāciju attiecībā uz 5G infrastruktūras attīstības plāniem, informējam, ka pēc Satiksmes ministrijas sniegtās informācijas šobrīd tiek plānots 4.2.1.1.i. investīcijas "Pasīvās infrastruktūras izbūve Via Baltica koridorā 5G pārklājuma nodrošināšanai" finansējumu pilnā apjomā pārdalīt uz 4.2.1.2.i. investīciju "Platjoslas jeb ļoti augstas veiktspējas tīklu “pēdējās jūdzes” infrastruktūras attīstībā". Proti, 4.2.1.1.i. investīcijas ieviešana vairs netiek plānota. Lūdzam atbilstoši precizēt informatīvajā ziņojumā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vairākiem ziņojumā minētajiem pasākumiem nav norādīts finansējuma avots tā īstenošanai, vai arī norādītā informācija ir nekonkrēta, attiecīgi lūdzam ziņojuma sadaļā “Kopsavilkums” norādīt skaidrojumu, kāpēc vairākiem pasākumiem nav iespējams sniegt informāciju par finansējuma apmēru un tā avotu. Vienlaikus, lai neradītu situāciju, ka saglabājas neskaidrība par pieejamiem resursiem pasākumu īstenošanai, lūdzam ziņojuma sadaļā “Kopsavilkums” norādīt, ka ziņojumā norādītie pasākumi tiks īstenoti, piesaistot Eiropas Savienības politiku instrumentu vai citas pārējās ārvalstu finanšu palīdzības finansējumu, kā arī esošo valsts budžeta līdzekļu un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visā Informatīvā ziņojuma tekstā naudas vienības apzīmējumu atveidot kā “</w:t>
            </w:r>
            <w:r w:rsidR="00000000" w:rsidRPr="00000000" w:rsidDel="00000000">
              <w:rPr>
                <w:i w:val="1"/>
                <w:rtl w:val="0"/>
              </w:rPr>
              <w:t xml:space="preserve">euro</w:t>
            </w:r>
            <w:r w:rsidR="00000000" w:rsidRPr="00000000" w:rsidDel="00000000">
              <w:rPr>
                <w:rtl w:val="0"/>
              </w:rPr>
              <w:t xml:space="preserve">” (slīprakstā), jo saskaņā ar  1998. gada 3. maija EK Regulu 974/98 par euro ieviešanu vienotās valūtas nosaukums tiek atveidots kā </w:t>
            </w:r>
            <w:r w:rsidR="00000000" w:rsidRPr="00000000" w:rsidDel="00000000">
              <w:rPr>
                <w:i w:val="1"/>
                <w:rtl w:val="0"/>
              </w:rPr>
              <w:t xml:space="preserve">euro</w:t>
            </w:r>
            <w:r w:rsidR="00000000" w:rsidRPr="00000000" w:rsidDel="00000000">
              <w:rPr>
                <w:rtl w:val="0"/>
              </w:rPr>
              <w:t xml:space="preserve">. Šāds naudas vienības apzīmējums ir lietots arī </w:t>
            </w:r>
            <w:r w:rsidR="00000000" w:rsidRPr="00000000" w:rsidDel="00000000">
              <w:rPr>
                <w:i w:val="1"/>
                <w:rtl w:val="0"/>
              </w:rPr>
              <w:t xml:space="preserve">Euro</w:t>
            </w:r>
            <w:r w:rsidR="00000000" w:rsidRPr="00000000" w:rsidDel="00000000">
              <w:rPr>
                <w:rtl w:val="0"/>
              </w:rPr>
              <w:t xml:space="preserve"> ieviešanas kārtības likumā, kā arī Finanšu ministrijas pārziņā esošajos likumos, kā piemēram, Gada pārskatu un konsolidēto gada pārskatu likumā.  Bez tam saskaņā ar Valsts valodas centra skaidrojumu (Tiesību aktu tulkošanas rokasgrāmata, 2022.g.) tiesību aktos, finanšu dokumentos un citos juridiskos tekstos, kur jānodrošina termina nepārprotamība, jālieto valūtas oriģinālnosaukums </w:t>
            </w:r>
            <w:r w:rsidR="00000000" w:rsidRPr="00000000" w:rsidDel="00000000">
              <w:rPr>
                <w:i w:val="1"/>
                <w:rtl w:val="0"/>
              </w:rPr>
              <w:t xml:space="preserve">euro </w:t>
            </w:r>
            <w:r w:rsidR="00000000" w:rsidRPr="00000000" w:rsidDel="00000000">
              <w:rPr>
                <w:rtl w:val="0"/>
              </w:rPr>
              <w:t xml:space="preserve">(raksta slīprakstā), savukārt ikdienas saziņā un publiskajā telpā lieto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Inna Rožkalne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informācijas atspoguļošanu, lūdzam 12.3.sadaļas “Politika, pasākumi un darbības digitālo mērķrādītāju sasniegšanai”” apakšdaļā 12.3.2. “Pasākumu apraksts” (70.lpp.) pie 1.pasākuma “Jaunuzņēmumu darbības atbalsta likums” precizēt norādīto pamatojumu, atsaucoties uz Ministru kabineta 2016.gada 29.septembra rīkojumā Nr.566 “Par konceptuālo ziņojumu "Par uzņēmējdarbības uzsākšanas un mazās uzņēmējdarbības ekosistēmu un turpmāk nepieciešamajiem atbalsta stimuliem"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2.4.sadaļu ar informāciju, ka ir runa par 2014.-2020.gada plānošanas perioda 8.4.1.SAM.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2.3.2.tabulā precizēt 8.4.1.SAM finansējumu, ņemot vērā, ka šobrīd tiek virzīti grozījumi SAM MK noteikumos, kā arī lūdzam norādīt vienotu kopsummu, jo šobrīd minētie publiskā sektora ieguldījumi būtiski pārsniedz 8.4.1.SAM ietvaros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2.3.1.tabulā plānošanas periodus, kā arī precizēt informāciju attiecībā 8.4.1.SAM, ka tas ir ESF (Eiropas Sociālā fonda) SAM, savukārt, 4.2.4.2.pasākums ir ESF Plus (Eiropas Sociālais fonds Plus) 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12.3.2.sadaļu aicinām ņemt vērā, ka saskaņā ar 2023.gada 5.septembra MK noteikumu Nr.510 "Eiropas Savienības kohēzijas politikas programmas 2021.–2027. gadam finanšu instrumentu kopīgie īstenošanas noteikumi" 11.2.1.apakšpunktu 1.2.3.2.pasākuma ietvaros paredzēts atbalstīt 45 jaunos uzņēmumus.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71.lpp. lūdzam skaidrot laika periodu norādītajai ietekmei - </w:t>
            </w:r>
            <w:r w:rsidR="00000000" w:rsidRPr="00000000" w:rsidDel="00000000">
              <w:rPr>
                <w:i w:val="1"/>
                <w:rtl w:val="0"/>
              </w:rPr>
              <w:t xml:space="preserve">Akcelerācijas fondi - veikuši ieguldījumus 24 uzņēmumos kopsummā par 1,6 milj. eiro;</w:t>
            </w:r>
            <w:r w:rsidR="00000000" w:rsidRPr="00000000" w:rsidDel="00000000">
              <w:rPr>
                <w:i w:val="1"/>
                <w:rtl w:val="0"/>
              </w:rPr>
              <w:t xml:space="preserve">Sākuma un izaugsmes fondi - veica ieguldījumus uzņēmumos 9 milj. eiro, piesaistot privāto līdzfinansējumu 2 milj. eiro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12.3.2.sadaļu lūdzam ņemt vērā, ka saskaņā ar 2023.gada 5.septembra MK noteikumiem Nr.510 "Eiropas Savienības kohēzijas politikas programmas 2021.–2027. gadam finanšu instrumentu kopīgie īstenošanas noteikumi" 1.2.3.2.pasākuma "Iespējkapitāla ieguldījumi" finansējums ir 91 786 124 euro, t.sk., ERAF 78 018 205 euro, valsts budžets - 13 767 919 euro. Tāpat aicinām attiecīgi precizēt pasākuma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8.3.2.tabulu 49.lpp. lūdzam ņemt vērā, ka 1.2.2.1.pasākumam plānots arī valsts budžeta līdzfinansējums saskaņā ar šobrīd plānoto - pieejamais ERAF finansējums 6,8 milj. euro, valsts budžeta 1,2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3.3.2.sadaļu 17.lpp. "Pašvadītas IKT speciālistu mācību pieejas attīstīšana" lūdzam ņemt vērā, ka Atveseļošanas un noturības mehānisma plāna investīciju īstenošanas laika ietvars ir līdz 2026.gadam.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izziņā papildu informāciju attiecībā uz 4.3.2. tabulā iekļauto pasākumu Nr. 3 Valsts atbalsta projekts “Vidējās jūdzes” elektronisko sakaru tīklu infrastruktūras attīstīšana – atbalsts paredzēts ļoti augstas veiktspējas elektronisko sakaru tīklu (ar datu pārraides ātrumu vismaz 100 Mbit/s) infrastruktūras, tostarp atvilces maršrutēšanas ("vidējās jūdzes") un “pēdējās jūdzes” izveide, lai veicinātu elektronisko sakaru pakalpojumu atbilstību Savienojamības paziņojuma mērķiem, tā kā šobrīd nedz ANM plāns, nedz Kohēzijas programma 2021.-2027. gadam neparedz šādu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4.3.2. tabulas " Pasākumu apraksts" 2.rindkopā ir domāti Eiropas Savienības Atveseļošanas un noturības mehānisma plāna 2.4. reformu un investīciju virziena "Digitālās infrastruktūras transformācija" 2.4.1.1.i. investīcijas "Pasīvās infrastruktūras izbūve Via Baltica koridorā 5G pārklājuma nodrošināšanai" īstenošanas noteikumi (22-TA-1495)? Lūdzam papildināt tabulu ar pilnu MK noteikumu (grozījumu) nosaukumu uz TAP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2.1. apakšsadaļas "Analīze par pašreizējo stāvokli digitālās pārveides jomā dalībvalsts kontekstā (pašreizējās situācijas apraksts, izaicinājumi, stiprās puses un sasniedzamie mērķi)" 7. rindkopā un 3.1. apakšsadaļas "Analīze par pašreizējo stāvokli digitālās pārveides jomā dalībvalsts kontekstā (pašreizējās situācijas apraksts, izaicinājumi, stiprās puses un sasniedzamie mērķi)" 3.rindkopā iekļautos ANM plāna investīciju pilnus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12.3.2.sadaļā sniegto informāciju par 2.pasākumu "Biznesa inkubatori", norādot, ka ES fondu 2021. – 2027. gada plānošanas perioda izstrādātā programma ir 1.2.3.1. pasākuma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ka ERAF projekts "Reģionālie biznesa inkubatori un Radošo industriju inkubators" ir ES fondu 2014.-2020.gada plānošanas perioda darbības programmas "Izaugsme un nodarbinātība" 3.1.1.6.pasākums.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pasākumam pieejamo finansējumu, tie noteikti nav 390 milj. EUR. Par šo jautajumu lūdzam konsultēties ar LIAA.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11.4.sadaļā "Galvenā politika, pasākumi un darbības, kas paredzēti, lai palīdzētu sasniegt vispārīgos mērķus" norādīto 2.2.1.5.i investīcijai plānoto finansējumu, aizstājot 3,7 milj. EUR ar 5,7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11.4.sadaļā "Galvenā politika, pasākumi un darbības, kas paredzēti, lai palīdzētu sasniegt vispārīgos mērķus" norādītā informācija par Altum atbalsta programmu "Finanšu instrumenti komersantu digitālās transformācijas veicināšanai" ir ANM 2.2.1.4.i investīcija.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2.3.1.2.i investīcija “Uzņēmumu digitālo prasmju attīstība” ir norādīta gan informatīvā ziņojuma 3.sadaļā "IKT speciālisti", gan informatīvā ziņojuma 11.sadaļā "Mazie un vidējie uzņēmumi ar vismaz pamata digitālās intensitātes līmeni". Vēršam uzmanību, ka 3.sadaļā šis ir norādīts kā jau pastāvošais pasākums, bet 11.sadaļā kā jauns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11.sadaļā neietvert tabulu ar 2.3.1.2.i investīcijas aprakstu, bet sniegt atsauci uz 3.sadaļu, kā tas ir norādīts citiem 11.3.2.sadaļā norādītajiem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datumu, līdz kuram tiek īstenota investīcija (31.12.2026 vietā lūdzam norādīt 30.06.2026.).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11.3.sadaļu ar diviem ERAF (21-27) pasākumiem 1) 1.2.1.2.pasākums "Produktivitātes aizdevumi (t.sk., ar kapitāla atlaidi) inovatīvām iekārtām, pētniecībai un attīstībai, tehnoloģiju pārnesei" (ERAF 58,76 milj. EUR) un 2) 1.2.2.2.pasākums "Individuālās garantijas digitalizācijai un automatizācijai" (ERAF 4,25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Šos pasākumus būtu lietdergi norādīt pie pasākuma Nr.4 kā atbalstu papildinošos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10.2.2. un 11.3.2.sadaļas "Pasākumu apraksts" pasākumu Nr.3, ņemot vērā, ka tas ir identisks pasākumam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8.3.2.apakšsadaļā pasākums Nr.3 ir nevis ANM 2.2.1.4.i. investīcija “Uzņēmumu digitālā transformācija un inovācijas”, bet ANM 2.2.1.3.i. investīcija “Atbalsts jaunu produktu un pakalpojumu ieviešanai komercdarbībā”.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8.3.2.sadaļā "Pasākumu apraksts" 2.2.1.4.i investīcijas aprakstu, norādot, ka programma būs pieejama nevis līdz 2026. gada 3. ceturkšņa beigām, bet līdz 2026.gada 30.jūnijam.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8.3.2.sadaļas "Pasākumu apraksts" 3.pasākuma (ANM 2.2.1.3.i. investīcija “Atbalsts jaunu produktu un pakalpojumu ieviešanai komercdarbībā”) aprakstā noteikto, ka programmas pirmais posms sāksies 2023. gada septembrī, norādot, ka programmas pirmais posms sāksies 2023.gada 4.ceturksnī, ņemot vērā, ka minētās investīcijas īstenošanas MK noteikumu projekts vēl ir saskaņošanas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kas ir domāts ar pasākuma 2.posmu (ERAF), norādot konkrētu pasākumu (21-27 programmas SAM 1.2.1.1.pasākums "Atbalsts jaunu produktu attīstībai un internacionalizācijai", ERAF finansējums līdz 2029.gadam 54 973 500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2.1.sadaļā "Analīze par pašreizējo stāvokli digitālās pārveides jomā dalībvalsts kontekstā" ir norādīts, ka ANM 2.3.1.1.i, 2.3.1.4.i, 2.3.2.1.i, 2.3.2.2.i un 2.3.2.3.i investīcijas ir vērienīgi pasākumi pamata prasmju uzlabošanai, taču turpmāk tekstā šīs investīcijas netiek norādītas kā pasākumi digitālo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 minētās investīcijas digitālo mērķu sasniegšanas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Satiksmes ministriju par atbildīgo, lai līdz 2030. gadam Latvija sasniegtu Eiropas Savienības noteiktos digitālos mērķrādītājus 2030.gadam, kas norādīti informatīvā ziņojuma “Par Digitālās desmitgades stratēģisko ceļvedi Latvijai līdz 2030. gadam” 4. nodaļā “Gigabitu savienojamība un 5G pārklājums” un 6. nodaļā “Perifērijas mezgli”.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pārskatīt šī punkta redakciju, ņemot vērā FM informatīvajā ziņojumā sniegtos komentārus attiecībā uz Satiksmes ministrijas pārziņā esošās 2.4.1.1.i. investīcijas "Pasīvās infrastruktūras izbūve Via Baltica koridorā 5G pārklājuma nodrošināšanai" turpmāko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02.10.2023.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02.10.2023.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Atzinumi_23-TA-2343.docx</dc:title>
</cp:coreProperties>
</file>

<file path=docProps/custom.xml><?xml version="1.0" encoding="utf-8"?>
<Properties xmlns="http://schemas.openxmlformats.org/officeDocument/2006/custom-properties" xmlns:vt="http://schemas.openxmlformats.org/officeDocument/2006/docPropsVTypes"/>
</file>