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25-TA-1597: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Nacionālās kiberdrošības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8. punktu ar k</w:t>
            </w:r>
            <w:r w:rsidR="00000000" w:rsidRPr="00000000" w:rsidDel="00000000">
              <w:rPr>
                <w:vertAlign w:val="superscript"/>
                <w:rtl w:val="0"/>
              </w:rPr>
              <w:t xml:space="preserve">1</w:t>
            </w:r>
            <w:r w:rsidR="00000000" w:rsidRPr="00000000" w:rsidDel="00000000">
              <w:rPr>
                <w:rtl w:val="0"/>
              </w:rPr>
              <w:t xml:space="preserve">) apakšpunktu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w:t>
            </w:r>
            <w:r w:rsidR="00000000" w:rsidRPr="00000000" w:rsidDel="00000000">
              <w:rPr>
                <w:vertAlign w:val="superscript"/>
                <w:rtl w:val="0"/>
              </w:rPr>
              <w:t xml:space="preserve">1</w:t>
            </w:r>
            <w:r w:rsidR="00000000" w:rsidRPr="00000000" w:rsidDel="00000000">
              <w:rPr>
                <w:rtl w:val="0"/>
              </w:rPr>
              <w:t xml:space="preserve">) kapitālsabiedrība, kura saņēmusi speciālu atļauju (licenci) patērētāja kreditēšanas pakalpojuma sniegšanai (izņemot Latvijas Republikā licencētas kredītiestādes vai citā Eiropas Savienības vai Eiropas Ekonomikas zonas dalībvalstī licencētas (reģistrētas) kredītiestādes meitas sabiedrība);”.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 sadaļā sniegt pamatotu skaidrojumu par projekta 3. pantā ietvertā Likuma 20. panta 8. punkta k.</w:t>
            </w:r>
            <w:r w:rsidR="00000000" w:rsidRPr="00000000" w:rsidDel="00000000">
              <w:rPr>
                <w:vertAlign w:val="superscript"/>
                <w:rtl w:val="0"/>
              </w:rPr>
              <w:t xml:space="preserve">1</w:t>
            </w:r>
            <w:r w:rsidR="00000000" w:rsidRPr="00000000" w:rsidDel="00000000">
              <w:rPr>
                <w:rtl w:val="0"/>
              </w:rPr>
              <w:t xml:space="preserve"> apakšpunktā paredzētā regulējuma atbilstību Eiropas Parlamenta un Padomes 2022. gada 14. decembra Direktīvai (ES) 2022/2555, ar ko paredz pasākumus nolūkā panākt vienādi augstu kiberdrošības līmeni visā Savienībā un ar ko groza Regulu (ES) Nr. 910/2014 un Direktīvu (ES) 2018/1972 un atceļ Direktīvu (ES) 2016/1148 (TID 2 direktīva) (ja attiecināms, arī citiem Eiropas Savienības tiesību aktiem), kas pirmšķietami neparedz to, ka attiecīgās kapitālsabiedrības būtu kvalificējamas kā būtisko pakalpojumu sniedzējas ("būtiskas vienības" direktīvas izpratnē). Ja attiecīgu skaidrojumu nav iespējams sniegt, lūdzam atbilstoši precizēt projekta 3. pantu, izslēdzot minēto normu. Norādām, ka konkrētās direktīvas mērķis ir mazināt lielās atšķirības starp dalībvalstīm un nodrošinātu juridisko noteiktību attiecībā uz kiberdrošības risku pārvaldības pasākumiem un ziņošanas pienākumiem visām attiecīgajām vienībām, ieviešot vienotu kritēriju tādu vienību noteikšanai, kas ietilpst šīs direktīvas darbības jomā (sk. direktīvas preambulas 7. apsvērumu). Vienlaikus minētās direktīvas 5. pants paredz, ka šī direktīva neliedz dalībvalstīm ieviest vai saglabāt noteikumus, kas nodrošina augstāku kiberdrošības līmeni, ar noteikumu, ka šādi noteikumi ir saderīgi ar Eiropas Savienības tiesību aktos noteiktajiem dalībvalstu pienākumiem.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ja ar projektu tiek pārņemts Eiropas Savienības direktīvas regulējums (tostarp ar projektu veiktas izmaiņas Likuma vienībās, ar kurām iepriekš pārņemtas minētās direktīvas vienības), lūdzam anotācijas 5. sadaļā, jo īpaši 5.4. apakšsadaļas 1. tabulā skaidrot direktīvas prasību pārņemšanu projektā vai skaidrot projektā ietvertā regulējuma atbilstību direktīvā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3. panta pirmās daļas 2.punktā vārdus "kā arī privāto tiesību juridiskajām personām, kas pilda valsts pārvaldes deleģētu uzdevumu,”.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izvērtēt projekta 2. pantā un projekta 3. panta pirmajā daļā ietvertā grozījuma ietekmi uz privāto tiesību juridiskajām personām, kas pilda valsts pārvaldes deleģētus uzdevumus, un ir kapitālsabiedrības, nevis biedrības un nodibinājumi. Piemēram, saskaņā ar Likuma 20. panta 5. punktu būtisko pakalpojumu sniedzējs ir valsts akciju sabiedrība "Latvijas Pasts", savukārt pēc projekta spēkā stāšanās valsts akciju sabiedrība "Latvijas Pasts" saskaņā ar Likuma 21. panta pirmās daļas 2. punkta a) apakšpunktu būs svarīgo pakalpojumu sniedzējs. Saskaņā ar Likuma 20. panta 5. punktu būtisko pakalpojumu sniedzējs ir sabiedrība ar ierobežotu atbildību "Publisko aktīvu pārvaldītājs Possessor", savukārt pēc projekta spēkā stāšanās būs nepieciešams izvērtēt, vai sabiedrība arī turpmāk būs būtisko pakalpojumu sniedzējs, ievērojot Likuma 20. panta 11. punktu, vai pēc projekta spēkā stāšanās šī kapitālsabiedrība, kas pilda būtiskus valsts pārvaldes deleģētus uzdevumus, vairs nebūs Likuma subjekts.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nākamajā dienā pēc tā izsludināšanas.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projektā ir paredzēts, ka tas stāsies spēkā nākamajā dienā pēc tā izsludināšanas, aicinām attiecīgi precizēt anotācijas 1.2.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25-TA-1597</w:t>
    </w:r>
    <w:r>
      <w:br/>
    </w:r>
    <w:r w:rsidR="00000000" w:rsidRPr="00000000" w:rsidDel="00000000">
      <w:rPr>
        <w:rtl w:val="0"/>
      </w:rPr>
      <w:t xml:space="preserve">Izdrukāts 29.08.2025. 11.34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25-TA-1597</w:t>
    </w:r>
    <w:r>
      <w:br/>
    </w:r>
    <w:r w:rsidR="00000000" w:rsidRPr="00000000" w:rsidDel="00000000">
      <w:rPr>
        <w:rtl w:val="0"/>
      </w:rPr>
      <w:t xml:space="preserve">Izdrukāts 29.08.2025. 11.34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Atzinumi_25-TA-1597.docx</dc:title>
</cp:coreProperties>
</file>

<file path=docProps/custom.xml><?xml version="1.0" encoding="utf-8"?>
<Properties xmlns="http://schemas.openxmlformats.org/officeDocument/2006/custom-properties" xmlns:vt="http://schemas.openxmlformats.org/officeDocument/2006/docPropsVTypes"/>
</file>