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Ministru kabineta rīkojuma projekta iesniegšanu par attiecīgā valsts nekustamā īpašuma nodošanu tās valdījumā vai turējumā vai atvasinātas publiskas personas īpašumā. Ja mainās valsts nekustamā īpašuma valdītājs no ministrijas uz ministriju, attiecīgā ministrija nodrošina ministrijas lēmuma par valdītāja maiņu iesniegšanu ministrijai, kura virzījusi Ministru kabineta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labad lūdzam precizēt 13.2. apakspunkta otro teikumu, nosakot, ka Ministru kabineta rīkojuma gatavošana nav nepieciešama, ja mainās valsts nekustamā īpašuma valdītājs no ministrijas uz ministriju. 
</w:t>
            </w:r>
            <w:r w:rsidR="00000000" w:rsidRPr="00000000" w:rsidDel="00000000">
              <w:rPr>
                <w:rtl w:val="0"/>
              </w:rPr>
              <w:t xml:space="preserve">Vienlaikus no 13.2. apakspunkta pirmā teikuma izriet pienākums gatavot Ministru kabineta rīkojuma projektu, ja mainās valsts nekustamā īpašuma valdītājs. Lūdzam skaidrot kuros gadījumos šī prasība ir piemērojama, ja otrajā teikumā ir noteikts, ka valdītāja maiņas gadījumā nav nepieciešams Ministru kabineta rīkojums.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Jansons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26-TA-1266</w:t>
    </w:r>
    <w:r>
      <w:br/>
    </w:r>
    <w:r w:rsidR="00000000" w:rsidRPr="00000000" w:rsidDel="00000000">
      <w:rPr>
        <w:rtl w:val="0"/>
      </w:rPr>
      <w:t xml:space="preserve">Izdrukāts 31.07.2026. 10.26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26-TA-1266</w:t>
    </w:r>
    <w:r>
      <w:br/>
    </w:r>
    <w:r w:rsidR="00000000" w:rsidRPr="00000000" w:rsidDel="00000000">
      <w:rPr>
        <w:rtl w:val="0"/>
      </w:rPr>
      <w:t xml:space="preserve">Izdrukāts 31.07.2026. 10.26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Atzinumi_26-TA-1266.docx</dc:title>
</cp:coreProperties>
</file>

<file path=docProps/custom.xml><?xml version="1.0" encoding="utf-8"?>
<Properties xmlns="http://schemas.openxmlformats.org/officeDocument/2006/custom-properties" xmlns:vt="http://schemas.openxmlformats.org/officeDocument/2006/docPropsVTypes"/>
</file>