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informatīvajam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labot 20. risināmā problēmjautājuma īstenošanas termiņu, ņemot vērā, ka politikas plānošanas dokumenta "Rīcības plāns liekā svara un aptaukošanās izplatības pieauguma mazināšanai 2025.–2029. gadam" (24-TA-2119) projekts paredz pasākumu 1.7. "</w:t>
            </w:r>
            <w:r w:rsidR="00000000" w:rsidRPr="00000000" w:rsidDel="00000000">
              <w:rPr>
                <w:i w:val="1"/>
                <w:rtl w:val="0"/>
              </w:rPr>
              <w:t xml:space="preserve">Sadarbībā ar jomas profesionāļiem pārskatīt normatīvā regulējuma prasības ēdināšanai izglītības un ārstniecības iestādēs, ilgstošas sociālās aprūpes un rehabilitācijas institūcijās atbilstoši aktuālākajām uztura rekomendācijām.</w:t>
            </w:r>
            <w:r w:rsidR="00000000" w:rsidRPr="00000000" w:rsidDel="00000000">
              <w:rPr>
                <w:rtl w:val="0"/>
              </w:rPr>
              <w:t xml:space="preserve">", kura izpildes termiņš ir 2027. gada otrais pusgads.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tbl>
            <w:tblPr>
              <w:tblStyle w:val="DefaultTable"/>
              <w:bidiVisual w:val="0"/>
              <w:tblW w:w="3225.0" w:type="dxa"/>
              <w:tblInd w:w="0.0" w:type="dxa"/>
              <w:jc w:val="left"/>
              <w:tblBorders>
                <w:top w:color="auto" w:val="single" w:sz="5" w:space="0"/>
                <w:left w:color="auto" w:val="single" w:sz="5" w:space="0"/>
                <w:bottom w:color="auto" w:val="single" w:sz="5" w:space="0"/>
                <w:right w:color="auto" w:val="single" w:sz="5" w:space="0"/>
                <w:insideH w:color="auto" w:val="single" w:sz="5" w:space="0"/>
                <w:insideV w:color="auto" w:val="single" w:sz="5" w:space="0"/>
              </w:tblBorders>
              <w:tblLayout w:type="fixed"/>
              <w:tblLook w:val="0600"/>
            </w:tblPr>
            <w:tblGrid>
              <w:gridCol w:w="0"/>
              <w:gridCol w:w="863"/>
              <w:gridCol w:w="1152"/>
              <w:gridCol w:w="24"/>
              <w:gridCol w:w="217"/>
              <w:gridCol w:w="79"/>
              <w:tblGridChange w:id="0">
                <w:tblGrid>
                  <w:gridCol w:w="0"/>
                  <w:gridCol w:w="863"/>
                  <w:gridCol w:w="1152"/>
                  <w:gridCol w:w="24"/>
                  <w:gridCol w:w="217"/>
                  <w:gridCol w:w="79"/>
                </w:tblGrid>
              </w:tblGridChange>
            </w:tblGrid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20.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MK noteikumos Nr. 172 noteiktās normas ir dažādi interpretējamas</w:t>
                  </w:r>
                </w:p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i w:val="1"/>
                      <w:rtl w:val="0"/>
                    </w:rPr>
                    <w:t xml:space="preserve">(III daļas 2. punkta 4.1. apakšpunkts)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Izvērtēt priekšlikumus un grozījumu nepieciešamību normatīvajos aktos (MK noteikumos Nr. 172)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VM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ZM, LDUSA, LĒA, IIĒA, PVD, NVO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2027.</w:t>
                  </w:r>
                </w:p>
              </w:tc>
            </w:tr>
          </w:tbl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Maija Ceruka (VM)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piedāvātā 9. risinājuma nepieciešamās rīcības redakciju, skaidrāk norādot veicamo rīcību.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Izstrādāt skolēnu ilgtspējīgas ēdināšanas organizēšanas vadlīnijas un izvērtēt iespējas izstrādāt vienotas standarta ēdienkartes (pamatojoties uz SPKC izstrādātajām paraugēdienkartēm)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Maija Ceruka (VM)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precizēt informatīvā ziņojuma sadaļas 2.3. redakciju "</w:t>
            </w:r>
            <w:r w:rsidR="00000000" w:rsidRPr="00000000" w:rsidDel="00000000">
              <w:rPr>
                <w:i w:val="1"/>
                <w:rtl w:val="0"/>
              </w:rPr>
              <w:t xml:space="preserve">Tomēr standartizēta paraugēdienkarte </w:t>
            </w:r>
            <w:r w:rsidR="00000000" w:rsidRPr="00000000" w:rsidDel="00000000">
              <w:rPr>
                <w:b w:val="1"/>
                <w:i w:val="1"/>
                <w:rtl w:val="0"/>
              </w:rPr>
              <w:t xml:space="preserve">varētu dot iespēju</w:t>
            </w:r>
            <w:r w:rsidR="00000000" w:rsidRPr="00000000" w:rsidDel="00000000">
              <w:rPr>
                <w:i w:val="1"/>
                <w:rtl w:val="0"/>
              </w:rPr>
              <w:t xml:space="preserve"> visiem bērniem saņemt līdzvērtīgu maltīti. Tādēļ, ņemot par pamatu SPKC izstrādātās paraugēdienkartes, būtu </w:t>
            </w:r>
            <w:r w:rsidR="00000000" w:rsidRPr="00000000" w:rsidDel="00000000">
              <w:rPr>
                <w:b w:val="1"/>
                <w:i w:val="1"/>
                <w:rtl w:val="0"/>
              </w:rPr>
              <w:t xml:space="preserve">nepieciešams izstrādāt</w:t>
            </w:r>
            <w:r w:rsidR="00000000" w:rsidRPr="00000000" w:rsidDel="00000000">
              <w:rPr>
                <w:i w:val="1"/>
                <w:rtl w:val="0"/>
              </w:rPr>
              <w:t xml:space="preserve"> vienotas standarta ēdienkartes, iekļaujot tajās vairāk vietējos produktus, kas ļautu precīzāk prognozēt nepieciešamos produktu apjomus, proti, vienam bērnam nepieciešamo produktu grozu uz gadu.</w:t>
            </w:r>
            <w:r w:rsidR="00000000" w:rsidRPr="00000000" w:rsidDel="00000000">
              <w:rPr>
                <w:rtl w:val="0"/>
              </w:rPr>
              <w:t xml:space="preserve">", ņemot vērā, ka pielikumā piedāvātais risinājums Nr.9 paredz izvērtēt iespējas izstrādāt vienotas standarta ēdienkartes.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 uz 2.3. sadaļas sākumā minēto, ka ēdienkarti ietekmē </w:t>
            </w:r>
            <w:r w:rsidR="00000000" w:rsidRPr="00000000" w:rsidDel="00000000">
              <w:rPr>
                <w:i w:val="1"/>
                <w:rtl w:val="0"/>
              </w:rPr>
              <w:t xml:space="preserve">dažādi aspekti, piemēram, virtuvju aprīkojums, pieejamais finansējums, produktu pieejamība un iepirkums, ēdiena pasniegšanas iespējas, bērnu vēlmes, pavāra prasmes u.c. </w:t>
            </w:r>
            <w:r w:rsidR="00000000" w:rsidRPr="00000000" w:rsidDel="00000000">
              <w:rPr>
                <w:rtl w:val="0"/>
              </w:rPr>
              <w:t xml:space="preserve">Standartizēta paraugēdienkarte, kas nav obligāta, pati par sevi neatrisinās minētos aspektus un nemazinās nevienlīdzību, tādēļ nepieciešams izvērtēt šādas ēdienkartes izstrādes lietderību.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Tomēr standartizēta paraugēdienkarte </w:t>
            </w:r>
            <w:r w:rsidR="00000000" w:rsidRPr="00000000" w:rsidDel="00000000">
              <w:rPr>
                <w:b w:val="1"/>
                <w:rtl w:val="0"/>
              </w:rPr>
              <w:t xml:space="preserve">varētu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b w:val="1"/>
                <w:rtl w:val="0"/>
              </w:rPr>
              <w:t xml:space="preserve">veicināt līdzvērtīgu maltīšu nodrošināšanu visiem bērniem.</w:t>
            </w:r>
            <w:r w:rsidR="00000000" w:rsidRPr="00000000" w:rsidDel="00000000">
              <w:rPr>
                <w:rtl w:val="0"/>
              </w:rPr>
              <w:t xml:space="preserve"> Tādēļ, pamatojoties uz SPKC izstrādātajām paraugēdienkartēm, būtu nepieciešams </w:t>
            </w:r>
            <w:r w:rsidR="00000000" w:rsidRPr="00000000" w:rsidDel="00000000">
              <w:rPr>
                <w:b w:val="1"/>
                <w:rtl w:val="0"/>
              </w:rPr>
              <w:t xml:space="preserve">izvērtēt nepieciešamību izstrādāt standarta ēdienkartes</w:t>
            </w:r>
            <w:r w:rsidR="00000000" w:rsidRPr="00000000" w:rsidDel="00000000">
              <w:rPr>
                <w:rtl w:val="0"/>
              </w:rPr>
              <w:t xml:space="preserve">, iekļaujot tajās vairāk vietējo produktu, kas ļautu precīzāk prognozēt nepieciešamos produktu apjomus, proti, vienam bērnam nepieciešamo produktu grozu gadam.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Maija Ceruka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12.02.2025.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12.02.2025.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