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Starptautisko un Latvijas Republikas nacionālo sankciju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pirmajā daļā vārdus "finanšu un civiltiesiskās";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jau likuma "Grozījumi Starptautisko un Latvijas Republikas nacionālo sankciju likumā" tapšanas ietvaros 2019. gadā vairākkārtēji pauda iebildumu attiecībā uz 11. panta pirmo daļu jeb nostāju, ka visas Apvienoto Nāciju Organizācijas Drošības Padomes rezolūcijās noteiktās sankcijas būtu tieši piemērojamas (uzsvars tieši uz ceļošanas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rezultātā tika panākta vienošanās noteikt, ka tieši attiecīgās "finanšu un civiltiesiskās sankcijas" ir tieši piemērojamas. Attiecīgā likuma sākotnējās ietekmes novērtējuma ziņojumā (anotācijā) minēts: "</w:t>
            </w:r>
            <w:r w:rsidR="00000000" w:rsidRPr="00000000" w:rsidDel="00000000">
              <w:rPr>
                <w:i w:val="1"/>
                <w:rtl w:val="0"/>
              </w:rPr>
              <w:t xml:space="preserve">Likumprojekta 6.pantā ietvertā ANO DP rezolūciju tiešā piemērojamība nav identiska ar ES regulu tiešo piemērojamību, jo ANO DP rezolūcijas bieži vien nav vērstas uz konkrētiem privāttiesiskiem subjektiem. Tomēr, ņemot vērtā FATF rekomendācijās ietverto formulējumu, ka nepieciešama ANO DP rezolūciju piemērošana bez kavēšanās (48h laikā) (to implement targeted financial sanctions to comply with the United Nations Security Council resolutions that require countries to freeze, without delay), tiek saglabāta šāda likumprojekta 6.panta redakcija.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projektā ietverto grozījumu likuma 11. panta pimajā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Par darbībām ar precēm, kuru apriti regulē Stratēģiskas nozīmes preču aprites likums, un par humāno izņēmumu gadījumiem rakstveida iesniegumus izskata un lēmumu pieņem 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Par sankciju izņēmumiem ārkārtas situācijās aviācijas jomā lēmumu pieņem Civilās aviācijas aģentūra, par ārkārtas situācijām kuģošanas jomā lēmumu pieņem ostas kapteinis.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3</w:t>
            </w:r>
            <w:r w:rsidR="00000000" w:rsidRPr="00000000" w:rsidDel="00000000">
              <w:rPr>
                <w:rtl w:val="0"/>
              </w:rPr>
              <w:t xml:space="preserve">) Īpašos, ar nacionālo drošību saistītos jautājumos, lēmumu par starptautisko vai nacionālo sankciju izņēmumu piemērošanu pieņem Ministru kabinets. Priekšlikumu par sankciju izņēmumu iesniedz ārlietu ministrs, pamatojoties uz Finanšu izlūkošanas dienesta ierosinājumu. Ministru kabinets pieņem lēmumu trīs mēnešu laikā no iesnieguma saņemšanas dienas. Ja objektīvu iemeslu dēļ šo termiņu nav iespējams ievērot, Ministru kabinets to var pagarināt uz laiku, ne ilgāku par sešiem mēnešiem no iesnieguma saņemšanas dienas, par to paziņojot iesniedzējam.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4</w:t>
            </w:r>
            <w:r w:rsidR="00000000" w:rsidRPr="00000000" w:rsidDel="00000000">
              <w:rPr>
                <w:rtl w:val="0"/>
              </w:rPr>
              <w:t xml:space="preserve">) Ministru kabineta lēmumu par sankciju izņēmumu piemērošanu var pārsūdzēt Administratīvajā apgabaltiesā. Tiesa lietu izskata kā pirmās instances tiesa. Lieta tiek izskatīta triju tiesnešu sastāvā. Administratīvās apgabaltiesas spriedumu var pārsūdzēt, iesniedzot kasācijas sūdzību. Lēmuma pārsūdzēšana neaptur tā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skaidrības un paredzamības nolūkā ierosinām precizēt projektu vai tā sākotnējās ietekmes novērtējuma ziņojumu (anotāciju) attiecībā uz Finanšu izlūkošanas dienesta un ārlietu ministra  kompetenci jaunveidojamās 10. panta 1.</w:t>
            </w:r>
            <w:r w:rsidR="00000000" w:rsidRPr="00000000" w:rsidDel="00000000">
              <w:rPr>
                <w:vertAlign w:val="superscript"/>
                <w:rtl w:val="0"/>
              </w:rPr>
              <w:t xml:space="preserve">3</w:t>
            </w:r>
            <w:r w:rsidR="00000000" w:rsidRPr="00000000" w:rsidDel="00000000">
              <w:rPr>
                <w:rtl w:val="0"/>
              </w:rPr>
              <w:t xml:space="preserve"> daļas ietvaros. Proti, attiecīgā norma paredz, ka "</w:t>
            </w:r>
            <w:r w:rsidR="00000000" w:rsidRPr="00000000" w:rsidDel="00000000">
              <w:rPr>
                <w:i w:val="1"/>
                <w:rtl w:val="0"/>
              </w:rPr>
              <w:t xml:space="preserve">priekšlikumu par sankciju izņēmumu iesniedz ārlietu ministrs, pamatojoties uz Finanšu izlūkošanas dienesta ierosinājumu</w:t>
            </w:r>
            <w:r w:rsidR="00000000" w:rsidRPr="00000000" w:rsidDel="00000000">
              <w:rPr>
                <w:rtl w:val="0"/>
              </w:rPr>
              <w:t xml:space="preserve">.". Savukārt projekta sākotnējās ietekmes novērtējuma ziņojumā (anotācijā) minēts, ka "</w:t>
            </w:r>
            <w:r w:rsidR="00000000" w:rsidRPr="00000000" w:rsidDel="00000000">
              <w:rPr>
                <w:i w:val="1"/>
                <w:rtl w:val="0"/>
              </w:rPr>
              <w:t xml:space="preserve">FID, saņemot iesniegumu par izņēmuma piešķiršanu, izvērtē minētā jautājuma tvērumu un konsultējoties ar Ārlietu ministriju pieņem lēmumu par jautājuma virzīšanu uz Ministru kabinetu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projekts neparedz Finanšu izlūkošanas dienesta konsultēšanās ar Ārlietu ministriju nepieciešamību, bet gan  paredz, ka Finanšu izlūkošanas dienests iesniedz ierosinājumu ārlietu ministram, kas savukārt lemj par izņēmuma virzīšanu uz Ministru kabinetu un iesniedz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Finanšu izlūkošanas dienests savas kompetences ietvaros sazinās ar ārvalstu kompetentajām institūcijām un starptautiskajām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Ikvienai personai ir pienākums nekavējoties informēt Finanšu izlūkošanas dienestu par starptautisko un nacionālo sankciju izpildi, tai skaitā par jebkādu līdzekļu iesaldēšanu, tiklīdz tā veikta."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projektu vai tā sākotnējās ietekmes novērtējuma ziņojumu (anotāciju) ar norādi, vai 12. panta piektā daļa attiecas arī uz uzraudzības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w:t>
            </w:r>
            <w:r w:rsidR="00000000" w:rsidRPr="00000000" w:rsidDel="00000000">
              <w:rPr>
                <w:b w:val="1"/>
                <w:vertAlign w:val="superscript"/>
                <w:rtl w:val="0"/>
              </w:rPr>
              <w:t xml:space="preserve">1</w:t>
            </w:r>
            <w:r w:rsidR="00000000" w:rsidRPr="00000000" w:rsidDel="00000000">
              <w:rPr>
                <w:b w:val="1"/>
                <w:rtl w:val="0"/>
              </w:rPr>
              <w:t xml:space="preserve"> pants. Finanšu izlūkošanas dienesta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izlūkošanas dienests ir kompetentā institūcija starptautisko un nacionālo sankciju izpildes jautājumos tiktāl, ciktāl normatīvie akti nenosaka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izlūkošanas dienests analizē sankciju jomu regulējošos normatīvos aktus un sniedz priekšlikumus Ārlietu ministrijai šo normatīvo aktu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izlūkošanas dienests pieņem šā likuma 2.pantā noteiktajām personām saistošus starptautisko un nacionālo sankciju izpildei nepieciešamos lēmumus par starptautisko un nacionālo sankciju izpildi, ja tā rīcībā ir informācija par personas pienākumu izpildīt sankcijas, bet sankcijas nav izpildītas saskaņā ar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tiek atceltas pret personu noteiktās starptautiskās vai nacionālās sankcijas vai mainās sankciju subjekta īpašumtiesības vai kontrole, bet līdzekļi un saimnieciskie resursi nav atbrīvoti. Finanšu izlūkošanas dienestam ir tiesības lemt par līdzekļu un saimniecisko resursu atbrīvošanu no iesaldēšanas,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Finanšu izlūkošanas dienests savā tīmekļvietnē publicē informāciju par sankciju subjektiem un tiem iesaldētajiem finanšu līdzekļiem un saimnieciskajiem resursiem Latvijā, kā arī informāciju par starptautisko un nacionālo sankciju subjektiem."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projektu, lai novērstu kolīziju ar Starptautisko un Latvijas Republikas nacionālo sankciju likuma 13. panta 4.</w:t>
            </w:r>
            <w:r w:rsidR="00000000" w:rsidRPr="00000000" w:rsidDel="00000000">
              <w:rPr>
                <w:vertAlign w:val="superscript"/>
                <w:rtl w:val="0"/>
              </w:rPr>
              <w:t xml:space="preserve">1</w:t>
            </w:r>
            <w:r w:rsidR="00000000" w:rsidRPr="00000000" w:rsidDel="00000000">
              <w:rPr>
                <w:rtl w:val="0"/>
              </w:rPr>
              <w:t xml:space="preserve">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ierosinātā 12.</w:t>
            </w:r>
            <w:r w:rsidR="00000000" w:rsidRPr="00000000" w:rsidDel="00000000">
              <w:rPr>
                <w:vertAlign w:val="superscript"/>
                <w:rtl w:val="0"/>
              </w:rPr>
              <w:t xml:space="preserve">1</w:t>
            </w:r>
            <w:r w:rsidR="00000000" w:rsidRPr="00000000" w:rsidDel="00000000">
              <w:rPr>
                <w:rtl w:val="0"/>
              </w:rPr>
              <w:t xml:space="preserve"> panta ceturtajā daļā pārskatīt punkta lietojumu normas vidū, tādējādi nodrošinot gramatisko skaidrību.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nepieciešamību precizēt projektu attiecībā uz ierosinātā 12.</w:t>
            </w:r>
            <w:r w:rsidR="00000000" w:rsidRPr="00000000" w:rsidDel="00000000">
              <w:rPr>
                <w:vertAlign w:val="superscript"/>
                <w:rtl w:val="0"/>
              </w:rPr>
              <w:t xml:space="preserve">1</w:t>
            </w:r>
            <w:r w:rsidR="00000000" w:rsidRPr="00000000" w:rsidDel="00000000">
              <w:rPr>
                <w:rtl w:val="0"/>
              </w:rPr>
              <w:t xml:space="preserve"> panta iespējamo pārklāšanos ar Starptautisko un Latvijas Republikas nacionālo sankciju likuma 13. panta sesto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precizēt projektu vai tā sākotnējās ietekmes novērtējuma ziņojuma (anotācijas) 6. lpp. ietverto norādi, ka projekts paredz svītrot Starptautisko un Latvijas Republikas nacionālo sankciju likuma 13. panta 4.</w:t>
            </w:r>
            <w:r w:rsidR="00000000" w:rsidRPr="00000000" w:rsidDel="00000000">
              <w:rPr>
                <w:vertAlign w:val="superscript"/>
                <w:rtl w:val="0"/>
              </w:rPr>
              <w:t xml:space="preserve">1</w:t>
            </w:r>
            <w:r w:rsidR="00000000" w:rsidRPr="00000000" w:rsidDel="00000000">
              <w:rPr>
                <w:rtl w:val="0"/>
              </w:rPr>
              <w:t xml:space="preserve"> pantu, jo projekts to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17.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izskatīt nepieciešamību pārskatīt arī Starptautisko un Latvijas Republikas nacionālo sankciju likuma 17. panta otro punktu kopsakarā ar ierosināto 12.</w:t>
            </w:r>
            <w:r w:rsidR="00000000" w:rsidRPr="00000000" w:rsidDel="00000000">
              <w:rPr>
                <w:vertAlign w:val="superscript"/>
                <w:rtl w:val="0"/>
              </w:rPr>
              <w:t xml:space="preserve">1</w:t>
            </w:r>
            <w:r w:rsidR="00000000" w:rsidRPr="00000000" w:rsidDel="00000000">
              <w:rPr>
                <w:rtl w:val="0"/>
              </w:rPr>
              <w:t xml:space="preserve"> pantu un projekta 7. pantu (Starptautisko un Latvijas Republikas nacionālo sankciju likuma 12. panta piekto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novērtējuma ziņojumu (anotāciju) vai projektu, jo projekta sākotnējās ietekmes novērtējuma ziņojums (anotācija) nosaka: "Iepriekš, balstoties uz likuma </w:t>
            </w:r>
            <w:r w:rsidR="00000000" w:rsidRPr="00000000" w:rsidDel="00000000">
              <w:rPr>
                <w:u w:val="single"/>
                <w:rtl w:val="0"/>
              </w:rPr>
              <w:t xml:space="preserve">13. panta ceturtās daļas 3., 4. un 5. punktu</w:t>
            </w:r>
            <w:r w:rsidR="00000000" w:rsidRPr="00000000" w:rsidDel="00000000">
              <w:rPr>
                <w:rtl w:val="0"/>
              </w:rPr>
              <w:t xml:space="preserve">, bija spēkā Finanšu un kapitāla tirgus komisijas normatīvie noteikumi Nr. 126 “Sankciju riska pārvaldīšanas normatīvie notiekumi”, kas noteica nosacījumus un prasības finanšu tirgus dalībniekiem attiecībā uz Eiropas Savienības dalībvalsts vai Ziemeļatlantijas līguma organizācijas dalībvalsts noteiktajām sankcijām. </w:t>
            </w:r>
            <w:r w:rsidR="00000000" w:rsidRPr="00000000" w:rsidDel="00000000">
              <w:rPr>
                <w:u w:val="single"/>
                <w:rtl w:val="0"/>
              </w:rPr>
              <w:t xml:space="preserve">Ar likuma grozījumiem tiek dzēsti minētie 13. panta ceturtās daļas punkti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9. pants paredz izslēgt </w:t>
            </w:r>
            <w:r w:rsidR="00000000" w:rsidRPr="00000000" w:rsidDel="00000000">
              <w:rPr>
                <w:u w:val="single"/>
                <w:rtl w:val="0"/>
              </w:rPr>
              <w:t xml:space="preserve">13. panta ceturtās daļas 2., 4. un 5. punktu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novērtējuma ziņojumu (anotāciju) vai projektu, jo projekta sākotnējās ietekmes novērtējuma ziņojums (anotācija) nosaka "likumprojekts paredz, ka FID kompetencē ietilps sankciju apmācību organizēšana un vadīšana, informatīvo materiālu par sankciju piemērošanu un izpildi izstrāde un publicēšana", savukārt projekts attiecīgas normas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novērtējuma ziņojuma (anotācijas) 3. lpp. otrajā rindkopā ir noteikts: "Eiropas Savienības sankcijas" savukārt projekts paredz "Eiropas Savienības dalībvalsts sankcijas". Līdz ar to nepieciešams salāgot projektu un projekta sākotnējās ietekmes novērtējuma ziņojumu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novērtējuma ziņojumu (anotāciju) (3.lpp. otro rindkopu), jo Starptautisko un Latvijas Republikas nacionālo sankciju likums neparedz, ka visas Apvienoto Nāciju Organizācijas Drošības padomes sankcijas ir tieši piemērojamas.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novērtējuma ziņojuma (anotācijas) 3.lpp. noteikts: "Ministru kabineta noteikumos plānots paredzēt, ka FID var finanšu tirgus dalībniekiem sniegt viedokli par Latvijai saistošo sankciju izpildes kārtību. Gadījumos, ja finanšu sektora dalībnieki vēlas “komforta vēstuli”, kas apstiprinātu MK noteikumos paredzēto, piemēram, sankcijas nebūtu attiecināmas uz pamatvajadzību segšanai nepieciešamām darbībām, ir iespējams vērsties pie FID ar iesniegumu un FID sniedz skaidrojumu". Vienlaikus projekta sākotnējās ietekmes novērtējuma ziņojuma (anotācijas) 4.sadaļā analogs skaidrojums nav ietverts.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novērtējuma ziņojuma (anotācijas) 5.lpp. noteikts: "FID pārņem no Ārlietu ministrijas atbilžu sniegšanu uz privātā sektora un valsts iestāžu jautājumiem par sankciju ieviešanu un piemērošanu.". Projektā attiecīga norma nav ietverta līdz ar to nepieciešams precizēt projektu vai tā sākotnējās ietekmes novērtējuma ziņojumu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novērtējuma ziņojumu (anotāciju) attiecībā uz ietekmi uz Finanšu izlūkošanas dienestu.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novērtējuma ziņojumu (anotāciju) attiecībā uz ietekmi uz Finanšu izlūkošanas dienestu.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23-TA-2087</w:t>
    </w:r>
    <w:r>
      <w:br/>
    </w:r>
    <w:r w:rsidR="00000000" w:rsidRPr="00000000" w:rsidDel="00000000">
      <w:rPr>
        <w:rtl w:val="0"/>
      </w:rPr>
      <w:t xml:space="preserve">Izdrukāts 19.10.2023. 14.58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23-TA-2087</w:t>
    </w:r>
    <w:r>
      <w:br/>
    </w:r>
    <w:r w:rsidR="00000000" w:rsidRPr="00000000" w:rsidDel="00000000">
      <w:rPr>
        <w:rtl w:val="0"/>
      </w:rPr>
      <w:t xml:space="preserve">Izdrukāts 19.10.2023. 14.58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Atzinumi_23-TA-2087.docx</dc:title>
</cp:coreProperties>
</file>

<file path=docProps/custom.xml><?xml version="1.0" encoding="utf-8"?>
<Properties xmlns="http://schemas.openxmlformats.org/officeDocument/2006/custom-properties" xmlns:vt="http://schemas.openxmlformats.org/officeDocument/2006/docPropsVTypes"/>
</file>