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25-TA-3102: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upuru atpazīšanas un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veicināt cīņu pret cilvēku tirdzniecību, izveidojot nacionālo novirzīšanas mehānismu un paredzot nogaidīšanas perioda piešķiršanas un pārtraukšanas nosacījumus cilvēku tirdzniecības upurim. Lai gan tiesību akta projekts skaidri neparedz personas datu apstrādi, jāuzsver, ka zem jēdziena “informācija” neizbēgami ietilpst arī personas dati, jo bez to apstrādes nav iespējams nodrošināt ne nacionālā novirzīšanas mehānisma darbību, ne informācijas apmaiņu starp iesaistītajām institūcijām, ne nogaidīšanas perioda piemērošanu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un anotācijas satura izriet, ka personas datu apstrāde šī tiesiskā regulējuma ietvaros notiks gan Vispārīgās datu aizsardzības regulas tvērumā, gan likuma “Par fizisko personu datu apstrādi kriminālprocesā un administratīvā pārkāpuma procesā”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apstrāde tiešā veidā netiek noteikta tiesību akta projektā, bet tā izriet no citu normatīvo aktu piemērošanas, šis fakts atbilstoši anotācijas struktūrai un būtībai ir jānorāda anotācijā, norādot uz datu apstrādes tiesisko pamatu un faktisko nepieciešamību, no kāda normatīvā akta izriet un apstrādājamo datu apjoms, ciktāl normatīvie akti pieļauj publiskot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2024/1712 35. apsvērumā skaidri uzsvērts, ka direktīvas īstenošanā ir jāievēro pamattiesības, tostarp personas datu aizsardzība, un jānodrošina atbilstība Vispārīgās datu aizsardzības regulai un kriminālprocesā piemērojamajiem datu apstrādes principiem. Tāpat ir noteikts, ka datu subjektam ir jābūt informētam par to, kas un kādiem nolūkiem apstrādās viņa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paredz regulējumu, kura īstenošana nav iespējama bez personas datu apstrādes, Inspekcija aicina aizpildīt anotācijas 8.1.13. sadaļu atbilstoši Valsts kancelejas izstrādātajām vadlīnijām “Vadlīnijas tiesību akta projekta sākotnējās ietekmes novērtēšanai un novērtējuma ziņojuma sagatavošanai vienotajā tiesību aktu izstrādes un saskaņošanas portālā”   (https://www.mk.gov.lv/sites/mk/files/media_file/tap_anotacija_vadlinijas.pdf).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02.04.2026.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02.04.2026.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Atzinumi_25-TA-3102.docx</dc:title>
</cp:coreProperties>
</file>

<file path=docProps/custom.xml><?xml version="1.0" encoding="utf-8"?>
<Properties xmlns="http://schemas.openxmlformats.org/officeDocument/2006/custom-properties" xmlns:vt="http://schemas.openxmlformats.org/officeDocument/2006/docPropsVTypes"/>
</file>