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vispārējās izglītības iestādēm, lai to īstenotajās izglītības programmās uzņemtu izglītojamos ar speciālām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satur normas, kas skar gan informācijas sniegšanas pienākumus, gan atbilstības prasības, lūdzam atbilstoši precizēt šo anotācijas sadaļu, tostarp veicot administratīvā sloga un atbilstības izmaksu aprēķinus.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vienkāršāk būtu veikt aprēķinu, Valsts kanceleja aicina izmantot Vadlīnijās tiesību akta sākotnējās ietekmes novērtēšanai un novērtējuma ziņojuma sagatavošanai vienotajā TAP portālā (pieejamas Ministru kabineta tīmekļvietnē -https://www.mk.gov.lv/lv/media/16905/download?attachment) 22.-25.lp ietvertos norādījumus administratīvo izmaksu monetārā novērtējuma veikšanai.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Aprēķinu veikšanai lūdzam izmantot paplašināto standarta izmaksu modeli. Metodiskie materiāli aprēķinu veikšanai pieejami šeit: Metodiskās rokasgrāmatas un apmācības | Ministru kabinets (mk.gov.lv).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satur normas, kas skar gan informācijas sniegšanas pienākumus, gan atbilstības prasības, lūdzam atbilstoši precizēt šo anotācijas sadaļu, tostarp veicot administratīvā sloga un atbilstības izmaksu aprēķinus.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vienkāršāk būtu veikt aprēķinu, Valsts kanceleja aicina izmantot Vadlīnijās tiesību akta sākotnējās ietekmes novērtēšanai un novērtējuma ziņojuma sagatavošanai vienotajā TAP portālā (pieejamas Ministru kabineta tīmekļvietnē -https://www.mk.gov.lv/lv/media/16905/download?attachment) 22.-25.lp ietvertos norādījumus administratīvo izmaksu monetārā novērtējuma veikšanai.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Aprēķinu veikšanai lūdzam izmantot paplašināto standarta izmaksu modeli. Metodiskie materiāli aprēķinu veikšanai pieejami šeit: Metodiskās rokasgrāmatas un apmācības | Ministru kabinets (mk.gov.lv).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Jansone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21.05.2026.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21.05.2026.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