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atlases otrās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veidojamās atkritumu dalītās vākšanas infrastruktūras būvprojekta izstrādes, autoruzraudzības un būvdarbu būvuzraudzības izmaksas, ja to veikšanu nosaka būvniecības jomu regulējošie normatīvie akti, nepārsniedzot 10 procentus no projekta kopējām attiecināmajām izmaksām, ja šīs izmaksas veido projekta ietvaros radīto pamatlīdzekļu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21.1.apakšpunktā nosacījumu “ja šīs izmaksas veido projekta ietvaros radīto pamatlīdzekļu vērtību”, jo finansējuma saņēmēju grāmatvedības kārtība attiecībā uz pamatlīdzekļu vērtības aprēķināšanu var atšķirties, tāpat lūdzam izvērtēt vai šajā apakšpunktā iekļaujamas būvprojekta izstrādes izmaksas, ņemot vērā 23.punkta nosacījumu, ka būvprojekta izstrādes izmaksas 100 procentu apmērā finansē no pašvaldības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projekta ietvaros izbūvētā atkritumu dalītas savākšanas infrastruktūra pastāvīgi 10 gadus no projekta noslēguma maksājuma veikšanas dienas tiek izmantota projektā noteikto mērķu sasniegšanai un rezultātu ilgtspējas nodrošināšanai. Ja finansējuma saņēmējs projekta īstenošanas teritorijā nesniedz atkritumu dalītās savākšanas pakalpojumu, finansējuma saņēmējs līdz noslēguma maksājuma iesniegšanas brīdim piesaista izveidotā infrastruktūras objekta darbības nodrošināšanai atkritumu apsaimniekotāju, kas normatīvajos aktos noteiktajā kārtībā ir izvēlēts sniegt atkritumu apsaimniekošanas pakalpojumu attiecīgajā pašvaldībā un iznomā attiecīgo infrastruktūras objektu par tirgus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w:t>
            </w:r>
            <w:r w:rsidR="00000000" w:rsidRPr="00000000" w:rsidDel="00000000">
              <w:rPr>
                <w:u w:val="single"/>
                <w:rtl w:val="0"/>
              </w:rPr>
              <w:t xml:space="preserve">konkrētāk definēt</w:t>
            </w:r>
            <w:r w:rsidR="00000000" w:rsidRPr="00000000" w:rsidDel="00000000">
              <w:rPr>
                <w:rtl w:val="0"/>
              </w:rPr>
              <w:t xml:space="preserve">, kādā gadījumā un kāds finansējuma saņēmējs (piem., pašvaldība) var iznomāt projektā radīto infrastruktūras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anotācijas 1.6.sadaļā “Cita informācija” ietverto informāciju, ņemot vērā, ka projektos pastāv neto ienākumu iespējamība, jo atkritumu dalītās vākšanas sistēmā tiek atgūti otrreizēji izmantojami, pārstrādājami materiāli, kam nosakāma tirgus cena, taču vienlaikus regulas Nr. 651/2014 47.pantā nav paredzēta pamatdarbības peļņas atskaitīšana no attiecināmajām izmaksām iepriekš saskaņā ar pamatotām prognozēm (deficīta likmes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12.06.2024.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12.06.2024.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Atzinumi_24-TA-339.docx</dc:title>
</cp:coreProperties>
</file>

<file path=docProps/custom.xml><?xml version="1.0" encoding="utf-8"?>
<Properties xmlns="http://schemas.openxmlformats.org/officeDocument/2006/custom-properties" xmlns:vt="http://schemas.openxmlformats.org/officeDocument/2006/docPropsVTypes"/>
</file>