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projekta īstenošanas laikā ēkā, ja tajā nav izveidots pieslēgums centralizētajai siltumapgādes sistēmai, paredzēts uzstādīt un pēc projekta īstenošanas izmantot atjaunīgo energoresursu tehnoloģijas un nodrošināt siltumenerģiju no atjaunīgajiem energoresursiem 100 %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prasības par 100% atjaunīgo energoresursu izmantošanu siltumenerģijai var būt tehnoloģiski sarežģīti un dārgi realizējams, kā rezultātā varētu būt šķērslis šādu projektu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not.nr.222 (no 08.04.2021.) “Ēku energoefektivitātes aprēķina metodes un ēku energosertifikācijas noteikumi”, 6.pielikumā noteiktās primārās enerģijas vērtības atjaunojamai un neatjaunojamo energoresursu daļai apliecina, ka 100% atjaunojama ir tikai saules, vēja un vides enerģija. Lai realizētu 100% siltumenerģijas ražošanu no atjaunīgiem energoresursiem, tikai siltumsūkņa izmantošana nav pietiekama, jo jānodrošina elektrības, kas saražota no atjaunīgiem energoresursiem un iespējams papildus jānodrošina akumulatori šīs enerģijas uzglabāšanai. Šie risinājumi var ne vien sadārdzināt projektus realizācijā un ekspluatācijā, bet var būt ierobežojumi dēļ  papildus nepieciešamās vietas iekārtu izvietošanai un klimata apstākļiem, lai garantētu iekārtu nepārtrauktu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aicinām samazināt norādītos procentus 8.2.punktā, ņemot vērā jau 8.3. izvirzītās augstās zaļā publiskā iepirkuma prasības ēku pārbūves darbu iepirkumā būves kopējo primāro enerģijas patēriņa novērtējumu noteikt A klases līmenī, tai skaitā primārās neatjaunojamās enerģijas patēriņa novērtējums ir lielāks par 60 %.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ēkas energoefektivitātes klase nav augstāka par "F" klasi saskaņā ar ēku energoefektivitātes aprēķina metodes un ēku energosertifikācijas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not.nr.280 (no 25.06.2019.) “Noteikumi par Latvijas būvnormatīvu LBN 002-19 "Ēku norobežojošo konstrukciju siltumtehnika"” ēku energoefektivitātes minimālais pieļaujamais līmenis, energoefektivitātes novērtējums apkurei atjaunojamām un pārbūvējamām ēkām, kuras ir valsts vai pašvaldības īpašumā un institūciju valdījumā un kurās atrodas valsts vai pašvaldības institūcijas ir līdz ≤ 90 kWh/m2 gadā. Šāds pieļaujamais apkures patēriņa līmenis atbilst “C” klasei (nedzīvojamām ēkām virs 250 m2, izņemot slimnīcām līdz ≤ 100 kWh/m2 gadā) saskaņā ar MK not.nr.222 (no 08.04.2021.) “Ēku energoefektivitātes aprēķina metodes un ēku energosertifikācijas noteikumi”, 3.pielikumu.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aicinām precizēt punktu 15.1 papildinot to ar energoefektivitātes klasēm “D” un “E” un vērtēt ēkas energoefektivitātes klasi kā vienu no projekta kvalitātes/efektivitātes kritērijiem, pieļaujot iespēju saņemt lielāku punktu skaitu kritērijā, ja ēkas energoefektivitātes klase ir zemāka.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energoefektivitātes klase nav augstāka par "D" klasi saskaņā ar ēku energoefektivitātes aprēķina metodes un ēku energosertifikācijas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un vismaz projekta dzīves cikla laikā (amortizācijas periodā) vairāk kā 50 % no ēkas platības tiks izmantota Iekšlietu ministrijas sistēmas iestāžu vai pašvaldības policijas funkciju īstenošanai, Vides investīciju fondam veicot projekta iesniedzēja norādītās informācijas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nepieciešamību noteikt procentuālu ēkas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gadījumi, kad vienā ēkā atrodas vairākas pašvaldības iestādes, tajā skaitā pašvaldības policija. Šis ierobežojums var izslēgt vairākas pašvaldības no projektu atklātā konkursa.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nenoteikt procentuālu ēkas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02.08.2024.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02.08.2024.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Atzinumi_23-TA-3037.docx</dc:title>
</cp:coreProperties>
</file>

<file path=docProps/custom.xml><?xml version="1.0" encoding="utf-8"?>
<Properties xmlns="http://schemas.openxmlformats.org/officeDocument/2006/custom-properties" xmlns:vt="http://schemas.openxmlformats.org/officeDocument/2006/docPropsVTypes"/>
</file>