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attīstības pamatnostādņu 2021. – 2027. gadam „Nākotnes prasmes nākotnes sabiedrībai” RĪCĪBAS PLĀNS 2024. –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LPS lūdz  papildināt rīcības plānu ar konkrētu pasākumu kopumu, kā tiks nodrošināta pilnvērtīga mācību līdzekļu tai skaitā digitālo platformu (Uzdevumi.lv; SOMA.lv u.c.) pieejamība vispārējā izglītībā vismaz obligātās izglītības posmā, ņemot vērā, ka 2024.gadā un 2025.gada valsts budžetā ir nepietiekošs valsts budžeta finansējums, kas  nevienlīdzību izglītojamo vidū mācību apguves procesā.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Ināra Dundure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16.01.2025.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16.01.2025.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