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25-TA-745: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Dabas resursu nodokļa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8.0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6.0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Bezdūmu nozares asociācija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18.05.2026.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19.05.2026.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pants. Izteikt pirmās daļas ievaddaļu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Nodokli par videi kaitīgām precēm, tai skaitā riepām, ar kurām aprīkoti šā likuma 3. panta pirmās daļas 5. punktā norādītie transportlīdzekļi, bet izņemot fotoelementu paneļus, invertorus un stacionāras enerģiju uzkrājošo bateriju sistēmas (turpmāk - bateriju sistēma) un elektroniskās smēķēšanas ierīces, nodokļa maksātājs nemaksā, ja tas nodrošina vides aizsardzības normatīvajos aktos noteikto videi kaitīgu preču atkritumu reģenerācijas normu izpildi, kā arī izpilda vienu no šādiem nosacījumiem:"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Bezdūmu nozares asociācija (BNA) aicina precizēt likumprojekta 3. 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Šobrīd Saeimā uz otro lasījumu tiek izskatīts likumprojekts “Grozījumi Atkritumu apsaimniekošanas likumā” (Nr.1270/Lp14), kurā Klimata un enerģētikas ministrija ir rosinājusi precizēt elektronisko smēķēšanas ierīču definīciju. Tā kā abi likumprojekti regulē savstarpēji saistītus jautājumus,  ir būtiski nodrošināt, ka terminoloģija un definīcijas abos likumos ir savstarpēji saskaņotas.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Pretējā gadījumā var rasties situācija, ka vienā likumā tiek lietots viens formulējums, bet otrā - atšķirīgs, radot neskaidrības gan uzņēmējiem, gan uzraugošajām institūcijām par to, uz kuriem produktiem regulējums attiecas. Tas var apgrūtināt normu piemērošanu praksē, radīt interpretācijas riskus un nevienlīdzīgu pieeju tirgus dalībniekiem.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BNA ieskatā īpaši svarīgi ir skaidri noteikt, ka regulējums  - gan depozīta sistēmas piemērošana, gan dabas resursu nodokļa maksāšanas pienākums gadījumos, kad komersants nepiedalās depozīta sistēmā  - attiecas uz </w:t>
            </w:r>
            <w:r w:rsidR="00000000" w:rsidRPr="00000000" w:rsidDel="00000000">
              <w:rPr>
                <w:u w:val="single"/>
                <w:rtl w:val="0"/>
              </w:rPr>
              <w:t xml:space="preserve">elektroniskajām smēķēšanas ierīcēm, kuru baterija nav atkārtoti uzlādējama</w:t>
            </w:r>
            <w:r w:rsidR="00000000" w:rsidRPr="00000000" w:rsidDel="00000000">
              <w:rPr>
                <w:rtl w:val="0"/>
              </w:rPr>
              <w:t xml:space="preserve">, jo tieši šīm ierīcēm tiek plānota depozīta sistēmas piemērošana.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Precīza definīcija palīdzēs izvairīties no pārpratumiem un nodrošinās tiesību normu savstarpēju saskaņotību, juridisku skaidrību un vienotu regulējuma piemērošanu praksē.</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pantā: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izteikt pirmās daļas ievaddaļu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Nodokli par videi kaitīgām precēm, tai skaitā riepām, ar kurām aprīkoti šā likuma 3. panta pirmās daļas 5. punktā norādītie transportlīdzekļi, bet izņemot fotoelementu paneļus, invertorus un stacionāras enerģiju uzkrājošo bateriju sistēmas (turpmāk - bateriju sistēma) un </w:t>
            </w:r>
            <w:r w:rsidR="00000000" w:rsidRPr="00000000" w:rsidDel="00000000">
              <w:rPr>
                <w:u w:val="single"/>
                <w:rtl w:val="0"/>
              </w:rPr>
              <w:t xml:space="preserve">elektroniskās smēķēšanas ierīces, kuru baterija nav atkārtoti uzlādējama</w:t>
            </w:r>
            <w:r w:rsidR="00000000" w:rsidRPr="00000000" w:rsidDel="00000000">
              <w:rPr>
                <w:rtl w:val="0"/>
              </w:rPr>
              <w:t xml:space="preserve">, nodokļa maksātājs nemaksā, ja tas nodrošina vides aizsardzības normatīvajos aktos noteikto videi kaitīgu preču atkritumu reģenerācijas normu izpildi, kā arī izpilda vienu no šādiem nosacījumiem:””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Marita Jansone</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25-TA-745</w:t>
    </w:r>
    <w:r>
      <w:br/>
    </w:r>
    <w:r w:rsidR="00000000" w:rsidRPr="00000000" w:rsidDel="00000000">
      <w:rPr>
        <w:rtl w:val="0"/>
      </w:rPr>
      <w:t xml:space="preserve">Izdrukāts 18.05.2026. 11.24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25-TA-745</w:t>
    </w:r>
    <w:r>
      <w:br/>
    </w:r>
    <w:r w:rsidR="00000000" w:rsidRPr="00000000" w:rsidDel="00000000">
      <w:rPr>
        <w:rtl w:val="0"/>
      </w:rPr>
      <w:t xml:space="preserve">Izdrukāts 18.05.2026. 11.24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Atzinumi_25-TA-745.docx</dc:title>
</cp:coreProperties>
</file>

<file path=docProps/custom.xml><?xml version="1.0" encoding="utf-8"?>
<Properties xmlns="http://schemas.openxmlformats.org/officeDocument/2006/custom-properties" xmlns:vt="http://schemas.openxmlformats.org/officeDocument/2006/docPropsVTypes"/>
</file>