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14. septembra noteikumos Nr. 636 "Ministru kabineta virzītu valsts augstskolas padomes locekļu atlases, izvirzīšanas un atsaukšanas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Augstskolas padomes locekļa mēneša darba algu nosaka, ņemot vērā Ministru kabineta 2016, gada 15 jūlija noteikumu Nr. 445 “Pedagogu darba samaksas noteikumi” 1. pielikumā noteikto augstskolas rektora zemāko mēneša darba algas likmi un piemērojot koeficientu atbilstoši attiecīgās augstskolas tipam. Augstskolas padomes priekšsēdētājam tiek noteikts 1,5 reizes lielāks atalgojums nekā augstskolas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noteikt augstskolu padomes locekļu atalgojumu atbilstoši rektora zemākās mēnešalgas likmei – 2739 EUR, atsaucoties uz MK noteikumiem Nr. 445, nav korekti, jo rektora zemākā mēneša darba algas likme ir augstāka nekā augstskolu akadēmiskā personāla vidējais atalgojums. 2026. gada valsts budžeta sagatavošanā, ievērojot “Fiskālās disciplīnas likumu” tika noteikti stingra valsts budžeta izdevumu kontrole un priekšlikumi taupības pasākumiem.  Tas attiecas arī uz taupības pasākumiem no valsts budžeta virzītajā atalgojumā.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mūsdienu finanšu aprēķinu tehnoloģisko iespēju apstākļos augstskolām nevajadzētu būt problēmām ikgadēji aprēķināt sava akadēmiskā personāla vidējo atalgojumu par iepriekšējo gadu. Uzskatām, ka esošā padomes locekļu virzīšanas kārtība ir vēl detalizētāka un administratīvi smagnējāka nekā personāla vidējā atalgojuma aprēķināšana augstskolām (atsaucieties 26-TA-194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pieejami dati par akadēmiskā personāla vidējo rādījumu veicinās caurspīdīgumu un uzticamību, tas palīdzēs augstskolai veikt finanšu stratēģisko salīdzināšanu, analīzi un tālāko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neiebilst, ka tiesību akta projekta mērķis ir noteikt padomes locekļu amata atlīdzību, ņemot vērā augstskolas tipu - piemērojot attiecīgu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Štefenhagena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Atzinumi_26-TA-194.docx</dc:title>
</cp:coreProperties>
</file>

<file path=docProps/custom.xml><?xml version="1.0" encoding="utf-8"?>
<Properties xmlns="http://schemas.openxmlformats.org/officeDocument/2006/custom-properties" xmlns:vt="http://schemas.openxmlformats.org/officeDocument/2006/docPropsVTypes"/>
</file>