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likuma "Par ietekmes uz vidi novērtējumu" 13. pantu  ar jaunu daļu, kas nosaka, ka, ja derīgo izrakteņu ieguvei jāsaņem zemes dzīļu izmantošanas licence, pēc sākotnējā novērtējuma tehniskos noteikumus neizsniedz. Attiecīgi papildināma likumprojekta anotācija, kur jāpaskaidro, ka vides prasības ieraksta licences nosacījumos. Nav saprātīgi, ka viena iestāde par vienu darbību izsniedz divus dokumentus – zemes dzīļu izmantošanas licenci un tehniskos noteikumus. Prasības, kas jāievēro derīgo izrakteņu ieguves procesā, jāiekļauj licences pielikumā. Ministru kabineta 2011.gada 6.septembra noteikumu Nr.696  “Zemes dzīļu izmantošanas licenču un bieži sastopamo derīgo izrakteņu ieguves atļauju izsniegšanas kārtība, kā arī publiskas personas zemes iznomāšanas kārtība zemes dzīļu izmantošanai” 32.1. apakšpunkts nosaka, ka viens no licences pielikumiem ir zemes dzīļu izmantošanas nosacījumi (prasības, kuras jāievēro, izmantojot zemes dzīles).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izsvērt tāfeles izvietošanas nosacījumu sašaurināšanu ne tikai uz energoapgādes infrastruktūru, bet arī uz derīgo izrakteņu ieguves objektiem, kur dažkārt nav izmaksefektīvi un pamatoti izvietot informatīvo tāfeli, jo teritorija atrodas tālu no apdzīvotām vietām vai vietām, kur uzturas cilvēki.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IVN procesu padarīt elektroniski noformējamu, piemēram, pilnveidojot jau esošo Valsts vides dienesta informācijas sistēmu TULPE ar sadaļu, kas būtu veltīta tieši IVN, SIVN un tehniskajiem noteikumiem. Tas atvieglotu birokrātisko slogu un samazinātu saraksti (vēstules) ar atbildīgajām iestādēm – Vides pārraudzības valsts biroju un Valsts vides dienestu. Kā arī, izmantojot elektronisko sistēmu, visi saistītie materiāli un dokumenti, kas pēc skaita nav maz, ar konkrēto ietekmes uz vidi novērtējumu būtu pieejami vienuviet, līdz ar to samazinātos iespēja, ka kāds materiāls un dokuments kaut kur noklīst.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