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24-TA-1631: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attīstības pamatnostādņu 2021. – 2027. gadam „Nākotnes prasmes nākotnes sabiedrībai” RĪCĪBAS PLĀNS 2024. –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attīstības pamatnostādņu 2021. – 2027. gadam „Nākotnes prasmes nākotnes sabiedrībai” RĪCĪBAS PLĀNS 2024. –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jau 2025.gads, norādām, ka uz Ministru kabinetu nevar tikt virzīts politikas plānošanas dokuments par termiņu, kurš jau ir beidzies. Līdz ar to rīcības plānam ir precizējams tā īstenošanas periods - 2025.gads - un svītrojami pasākumi, kuri jau ir izpildīti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Šī rīkojuma 2. punktā minētajām institūcijām Plānā iekļautos pasākumus 2024. un 2025. gadā īstenot no tām piešķirtajiem valsts budžeta līdzekļiem, bet jautājumu par papildus nepieciešamo finansējumu turpmākajos gados izskatīt Ministru kabinetā kārtējā gada valsts budžeta likumprojekta sagatavošanas un izskatīšanas procesā kopā ar visu ministriju un centrālo valsts iestāžu iesniegtajiem prioritāro pasākumu pieteikumiem atbilstoši valsts budžeta finansiālajām iespējām. Pasākumi, kuriem nepieciešams papildu finansējums, var tikt īstenoti, ja valsts budžeta sagatavošanas procesā tiks atbalstīts par pasākuma īstenošanu noteiktās atbildīgās ministrijas iesniegtais prioritārā pasākuma pieteikums.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"Par valsts budžetu 2025. gadam un budžeta ietvaru 2025., 2026. un 2027. gadam" ir pieņemts un stājies spēkā, 2025.gadā īstenojamo pasākumu plānā var tikt iekļauti tikai tādi pasākumi, kuru īstenošanai vidēja termiņa budžetā ir paredzēts finansējums, un nav atbalstāma tādu pasākumu iekļaušana 2025.gada rīcības plānā, kuru īstenošanai 2025.gadā un turpmākajos gados nav paredzēts finansējums vidēja termiņa budžeta likumā. Līdz ar to rīkojuma projekta 3.punkts ir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Šī rīkojuma 2. punktā minētajām institūcijām Plānā iekļautos pasākumus īstenot no tām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 Ietekmes novērtējums uz valsts un pašvaldību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Ministru kabineta rīkojuma projektu un tā 3.punktu, lūdzam rīcības plāna projekta pielikuma “Ietekmes novērtējums uz valsts un pašvaldību budžetu” ailēs “Vidēja termiņa budžeta ietvara likumā plānotais finansējums” uzrādīt finansējumu atbilstoši “Likumā "Par valsts budžetu 2025. gadam un budžeta ietvaru 2025., 2026. un 2027. gadam"” paredzētajam, svītrot pasākumus, kuru īstenošanai nepieciešams papildu finansējums, kā arī svītrot tabulas 11.rindā un 1.1.1.2., 1.1.2.1., 1.1.4.1., 1.1.4.2., 1.2.1.1., 2.1.1.1., 2.1.1.2., 2.1.1.4., 2.1.2.2., 2.2.3.2., 2.3.2.1., 3.1.1.2., 3.1.1.5., 3.1.3.1., 3.2.2.2., 3.3.1.3. un 4.2.2.3. pasākumiem kolonnā “Piezīmes” norādīto atsauci: “</w:t>
            </w:r>
            <w:r w:rsidR="00000000" w:rsidRPr="00000000" w:rsidDel="00000000">
              <w:rPr>
                <w:i w:val="1"/>
                <w:rtl w:val="0"/>
              </w:rPr>
              <w:t xml:space="preserve">Pasākumu plānots īstenot pilnā apmērā Izglītības attīstības pamatnostādņu 2021. – 2027. gadam „Nākotnes prasmes nākotnes sabiedrībai” Rīcības plāna 2026. – 2027. gada ietvarā. Par papildu valsts budžeta līdzekļu piešķiršanu plānā paredzēto pasākumu īstenošanai 2026. gadā un turpmākajos gados skatīt likumprojekta “Par valsts budžetu 2026. gadam un budžeta ietvaru 2026., 2027. un 2028. gadam” sagatavošanas un izskatīšanas procesā kopā ar visu ministriju un citu centrālo valsts iestāžu iesniegtajiem prioritāro pasākumu pieteikumiem, ievērojot valsts budžeta finansiālās iespējas. Pasākumi, kuriem nepieciešams papildu finansējums, var tikt īstenoti, ja valsts budžeta sagatavošanas procesā tiks atbalstīts par pasākuma īstenošanu noteiktās atbildīgās ministrijas iesniegtais prioritārā pasākuma pieteikums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 Ietekmes novērtējums uz valsts un pašvaldību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rīcības plāna projekta pielikuma “Ietekmes novērtējums uz valsts un pašvaldību budžetu” tabulā sniegt informāciju par 1.1.1.1., 2.1.3.1., 2.1.3.3., 3.1.1.3. un 4.1.2.2.pasākuma finansējumu, attiecīgi norādot, kuras institūcijas budžeta un programmas/apakšprogrammas ietvaros tie tiek plānoti/īstenoti.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 Ietekmes novērtējums uz valsts un pašvaldību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valsts budžetu 2025.gadam un budžeta ietvaru 2025., 2026. un 2027.gadam” Labklājības ministrijas (turpmāk – LM) valsts pamatbudžeta apakšprogrammā 63.08.00 “Eiropas Sociālā fonda Plus (ESF+) projektu un pasākumu īstenošana (2021-2027)” un valsts pamatbudžeta apakšprogrammā 74.06.00 “Atveseļošanas un noturības mehānisma (ANM) projekti un pasākumi” nav plānots finansējums 2026.gadam. Līdz ar to lūdzam rīcības plāna projekta pielikumā “IZM_pamatn_RP_2024-2025_Ietekme_uz_budzetu” 3.3.1.3.pasākumam finansējumu augstāk minētajām LM pamatbudžeta apakšprogrammām norādīt ailē “Nepieciešamais papildu finansējums”, atbilstoši svītrojot ailē “Vidēja termiņa budžeta ietvara likumā plānoto finansējums” minētājām LM pamatbudžeta apakšprogrammām 2026.gadam norādīto finansējumu, vienlaikus precizējot pielikuma kopsavilkuma datus. Vienlaikus rīcības plāna projekta 3.3.1.3.pasākumam pie finansējuma ES politiku instrumentu un pārējās ĀFP līdzfinansēto un finansēto projektu un pasākumu īstenošanai norādīt atsauci, ka papildu nepieciešamais finansējums tiks pieprasīts no 74.budžeta resora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 plāna projekta ir svītrojami pasākumi, kuru īstenošanai finansējums 2025.gadā un turpmākajos gados nav paredzēts, tādējādi nodrošinot, ka plānā ietvertos pasākumus ir iespējams īstenot piešķirtā finansējuma ietvaros, neuzņemoties saistības bez finansiāla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Eiropas Savienības vispārējās izņēmuma klauzula, kas ļāva atkāpties no ES Līgumos noteiktajiem vispārējās valdības budžeta deficīta (3% no IKP) un parāda (60% no IKP) ierobežojumiem  ir atcelta ar 2024.gadu  un stājušies spēkā ES Stabilitātes un izaugsmes pakta nosacījumi (jaunie ES fiskālie noteikumi), kas līdz ar Fiskālās disciplīnas likuma nosacījumiem ir jāņem vērā valsts budžeta likumprojekta sagatavošanas procesā. Saskaņā ar šiem nosacījumiem budžeta izdevumiem tiek noteikta saistoša izdevumu pieauguma trajektorija, un, balstoties uz šī brīža prognozēm, iespējas piešķirt papildu finanšu resursus turpmākajos gados būs ierobežotas, kas ministrijām un citām centrālajām iestādēm jāņem vērā arī attīstības plānošanas dokumentu izstrādē. Gatavojot valsts budžetu 2025.gadam, tika plānots, ka budžeta deficīts būs 2,9% apmērā no IKP, bet Eiropas Komisijas deficīta novērtējums ir augstāks. Tāpēc  ir ļoti būtiski uzraudzīt budžeta faktisko izpildi jau saplānotiem pasākumiem un neradīt papildu risku 3% no IKP robežas pārsniegšanai. Turklāt pie situācijas, ja budžeta ieņēmumi 2025.gadā nepildīsies kā plānots, jau šobrīd var veidoties situācija, ka jāveic pasākumi izdevumu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jauni  pasākumi nedrīkst palielināt budžeta deficītu ne 2025. gadam, ne sekojošajiem gadiem. Papildus izdevumu finansēšana iespējama tikai piedāvājot jaunus diskrecionāros ieņēmumu pasākumus (piemēram, izmaiņas ieņēmumu bāzē vai likmēs), vai samazinot citus izdevumus, lai rastu nepieciešamo finansējumu jaunu pasākumu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plāna projekta pielikuma sadaļas "M4. Ilgtspējīga un efektīva izglītības sistēmas un resursu pārvaldība" darbības rezultāta Nr.4.2.2.5.a rezultatīvo rādītājus nav jāpapildina ar atsauci uz ESF+ 4.2.2.5.pasākumu "Dalība starptautiskos izglītības pētījumos izglītības kvalitātes monitoringa sistēmas attīstībai un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Radvila-Kozlovska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plāna projekta sadaļas "M4. Ilgtspējīga un efektīva izglītības sistēmas un resursu pārvaldība" darbības rezultāta Nr.4.2.1.1.a un 4.2.2.1.a rezultatīvo rādītājus nav jāpapildina ar atsauci uz ESF+ 4.2.2.4.pasākumu "Izglītības kvalitātes monitoringa sistēmas attīstība un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Radvila-Kozlovska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sadaļas "M2. Mūsdienīgs, kvalitatīvs un uz darba tirgū augsti novērtētu prasmju attīstīšanu orientēts izglītības piedāvājums" rezultātīvajā rādītāja "Izstrādāti ERAF 4.2.1.8.pasākuma un ESF+ 4.2.2.11.pasākuma MK noteikumi un projektu vērtēšanas kritēriji" izpildes termiņu. Vienlaikus vēršam uzmanību, ka 4.2.1.8.pasākuma "Augstskolu studiju vides modernizācija" īstenošanas nosacījumi 2025.gada 1.janvārī ir apstiprināti Ministru kabinetā.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Radvila-Kozlovska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sadaļas "M2. Mūsdienīgs, kvalitatīvs un uz darba tirgū augsti novērtētu prasmju attīstīšanu orientēts izglītības piedāvājums" rezultātīvajā rādītājā "Pašvaldības uzsākušas projektu īstenošanu, ar mērķi nodrošināt 21 pašvaldību dibinātu, reorganizācijas rezultātā izveidotu, reģionāli nozīmīgu pamatskolu, kas atrodas ārpus pašvaldību administratīvajiem centriem, mācību vides modernizēšanu. (AF </w:t>
            </w:r>
            <w:r w:rsidR="00000000" w:rsidRPr="00000000" w:rsidDel="00000000">
              <w:rPr>
                <w:b w:val="1"/>
                <w:rtl w:val="0"/>
              </w:rPr>
              <w:t xml:space="preserve">3.1.1.5.pasākums</w:t>
            </w:r>
            <w:r w:rsidR="00000000" w:rsidRPr="00000000" w:rsidDel="00000000">
              <w:rPr>
                <w:rtl w:val="0"/>
              </w:rPr>
              <w:t xml:space="preserve"> "Izglītības iestāžu infrastruktūras pilnveide un aprīkošana")" atsauci uz Atveseļošanas fonda </w:t>
            </w:r>
            <w:r w:rsidR="00000000" w:rsidRPr="00000000" w:rsidDel="00000000">
              <w:rPr>
                <w:b w:val="1"/>
                <w:rtl w:val="0"/>
              </w:rPr>
              <w:t xml:space="preserve">3.1.1.5.i investīciju</w:t>
            </w:r>
            <w:r w:rsidR="00000000" w:rsidRPr="00000000" w:rsidDel="00000000">
              <w:rPr>
                <w:rtl w:val="0"/>
              </w:rPr>
              <w:t xml:space="preserve"> "Izglītības iestāžu infrastruktūras pilnveide un aprīkošana".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Radvila-Kozlovska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plāna projekta sadaļas "M2. Mūsdienīgs, kvalitatīvs un uz darba tirgū augsti novērtētu prasmju attīstīšanu orientēts izglītības piedāvājums" rezultatīvo rādītāju "Nodrošināts finansējums izglītības iestādēm mācību līdzekļu, tai skaitā digitāla formāta, iegādei, kā arī digitālo platformu abonēšanai." nav jāpapildina ar atsauci uz ERAF 4.2.1.4.pasākumu "Izglītības iestāžu nodrošinājums pilnveidotā vispārējās izglītības satura kvalitatīvai ieviešanai pirmsskolas izglītības pakāpē" un 4.2.1.5.pasākumu "Izglītības iestāžu nodrošinājums pilnveidotā vispārējās izglītības satura kvalitatīvai ieviešanai pamata un vidējās izglītības pakāpē" 1.kārtu.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Radvila-Kozlovska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sadaļas "M1. Augsti kvalificēti, kompetenti un uz izcilību orientēti pedagogi un akadēmiskais personāls" rezultatīvo rādītāju "Nodrošināti vismaz 260 doktorantu granti. (projekta īstenošana paredzēta līdz 2029. gadam)(ESF+ 1.1.1.8. pasākums)". Vēršam uzmanību, ka pasākumu plānots īstenot no ERAF līdzekļiem, kā arī atbilstoši Ministru kabineta 2023.gada 19.decembra noteikumu Nr.811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 6.2.1.apakšpunktam "Doktorantūras granti" pasākuma rādītājs ir noteikts "doktorantu skaits, kas saņēmuši Eiropas Reģionālās attīstības fonda atbalstu studiju vai zinātniski pētnieciskajam darbam projekta iesniedzēja vai projekta sadarbības partnera institūcijā, – 264;".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Radvila-Kozlovska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nepieciešamības gadījumā svītrot plāna projektā norādīto FM (tai skaitā CFLA) līdzatbildību plānoto pasākumu ieviešanā. Vēršam uzmanību, ka atbilstoši Eiropas Savienības fondu 2021.-2027.gada plānošanas perioda vadības likuma (turpmāk – Vadības likums) 11.panta 3.punktam atbildīgo iestāžu kompetencē ir izstrādāt Eiropas Savienības fondu specifisko atbalsta mērķu/pasākumu īstenošanas nosacījumus, projektu iesniegumu vērtēšanas kritērijus un šo kritēriju piemērošanas metodikas,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atbilstoši plānošanas dokumentiem nodrošināt specifiskā atbalsta mērķa rezultātu sasniegšanu, tostarp iznākuma un rezultātu rādītāju sasniegšanas uzraudzību. Atbilstoši Vadības likuma 12. panta  3.punktam sadarbības iestādes kompetencē ir veikt projektu iesniegumu atlasi un uzraudzību, veikt maksājumus finansējuma saņēmējiem u.c., taču sadarbības iestāde, veicot projektu atlasi un uzraudzību, nevar būt līdzatbildīga par rīcības plānā noteikto darbību rezultātu un rezultatīvo rādītāju un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atbilstoši Ministru kabineta 2021.gada 7.septembra noteikumu Nr. 621 "Eiropas Savienības Atveseļošanas un noturības mehānisma plāna īstenošanas un uzraudzības kārtība" 8.1.apakšpunktam nozares ministrija nodrošina sava resora Atveseļošanas fonda plāna ietvaros noteikto reformu un investīciju atbilstošu īstenošanu (tai skaitā to uzraudzību un risku pārvaldību) atbilstoši Atveseļošanas fonda plāna īstenošanas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Radvila-Kozlovska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plāna projekta sadaļas "M2. Mūsdienīgs, kvalitatīvs un uz darba tirgū augsti novērtētu prasmju attīstīšanu orientēts izglītības piedāvājums" darbības rezultāta nr. 2.2.1.2.b. finanšu avots ir ES fondu projekts un atbilstoši papildināt informāciju ar precīzu atsauci uz konkrētu ES fondu atbalsta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24-TA-1631</w:t>
    </w:r>
    <w:r>
      <w:br/>
    </w:r>
    <w:r w:rsidR="00000000" w:rsidRPr="00000000" w:rsidDel="00000000">
      <w:rPr>
        <w:rtl w:val="0"/>
      </w:rPr>
      <w:t xml:space="preserve">Izdrukāts 16.01.2025.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24-TA-1631</w:t>
    </w:r>
    <w:r>
      <w:br/>
    </w:r>
    <w:r w:rsidR="00000000" w:rsidRPr="00000000" w:rsidDel="00000000">
      <w:rPr>
        <w:rtl w:val="0"/>
      </w:rPr>
      <w:t xml:space="preserve">Izdrukāts 16.01.2025.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Atzinumi_24-TA-1631.docx</dc:title>
</cp:coreProperties>
</file>

<file path=docProps/custom.xml><?xml version="1.0" encoding="utf-8"?>
<Properties xmlns="http://schemas.openxmlformats.org/officeDocument/2006/custom-properties" xmlns:vt="http://schemas.openxmlformats.org/officeDocument/2006/docPropsVTypes"/>
</file>