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24. jūlija noteikumos Nr. 446 "Noteikumi par lauksaimniecības, lauku un zivsaimniecības saimnieciskās darbības veicēju aizdevumu programmu"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pārskatīt un precizēt projekta anotācijas 5. sadaļu (sadaļas aizpildīšanā aicinām ievērot "Vadlīnijas tiesību akta projekta sākotnējās ietekmes novērtēšanai un novērtējuma ziņojuma sagatavošanai Vienotajā tiesību aktu izstrādes un saskaņošanas portālā"). Vēršam uzmanību, ka, piemēram,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skaidrots tas, kā ir izmantota Eiropas Savienības tiesību aktos paredzētā rīcības brīvība, lai gan vairākas ieviestās tiesību normas, piemēram, Komisijas 2014. gada 27. jūnija Regulas (ES) Nr. 717/2014 par Līguma par Eiropas Savienības darbību 107. un 108. panta piemērošanu de minimis atbalstam zvejniecības un akvakultūras nozarē (turpmāk - Regula 717/2014) 3. panta 2.a punkts un Eiropas Parlamenta un Padomes 2021. gada 2. decembra Regulas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(turpmāk - regula Nr. 2021/2115), 73. panta 4. un 5. punkts paredz dalībvalstīm rīcības brīvību;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skaidrots, kā ieviestas vairākas citas Eiropas Savienības tiesību normas. Piemēram, regulas 1408/2013 6. panta 3. punkts, iespējams, varētu būt ieviests ar projekta 25. punktu. Aicinām arī izvērtēt, vai, ņemot vērā projektā veikto NACE redakcijas un kodu aktualizēšanu, ar projektu tiek ieviests Komisijas 2022. gada 10. oktobra Deleģētās regulas (ES) 2023/137, ar kuru groza Eiropas Parlamenta un Padomes Regulu (EK) Nr. 1893/2006, ar ko izveido NACE 2. red. saimniecisko darbību statistisko klasifikāciju, 1. pants un pielikums, attiecīgā gadījumā to atspoguļojot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nepieciešams detalizētāk skaidrot regulas Nr. 2021/2115 73. panta ieviešanu (punktu līmenī) projektā, ņemot vērā, ka konkrētais pants paredz vairākus dalībvalstu pienākumus, piemēram, investīciju un izdevumu kategoriju sarakstu noteikšana, kuras ir neattiecināmas, atbalsta likmju noteikšana u.tml., kas pirmšķietami no projekta neizriet. Nepieciešamības gadījumā lūdzam papildināt projektu ar attiecīgu regulējumu vai skaidrot, kādēļ tas nav nepieciešams,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finanšu institūcija aizdevumu sniedz no šo noteikumu </w:t>
            </w:r>
            <w:r w:rsidR="00000000" w:rsidRPr="00000000" w:rsidDel="00000000">
              <w:rPr>
                <w:rtl w:val="0"/>
              </w:rPr>
              <w:t xml:space="preserve">4.1.</w:t>
            </w:r>
            <w:r w:rsidR="00000000" w:rsidRPr="00000000" w:rsidDel="00000000">
              <w:rPr>
                <w:rtl w:val="0"/>
              </w:rPr>
              <w:t xml:space="preserve"> , </w:t>
            </w:r>
            <w:r w:rsidR="00000000" w:rsidRPr="00000000" w:rsidDel="00000000">
              <w:rPr>
                <w:rtl w:val="0"/>
              </w:rPr>
              <w:t xml:space="preserve">4.2.</w:t>
            </w:r>
            <w:r w:rsidR="00000000" w:rsidRPr="00000000" w:rsidDel="00000000">
              <w:rPr>
                <w:rtl w:val="0"/>
              </w:rPr>
              <w:t xml:space="preserve"> vai </w:t>
            </w:r>
            <w:r w:rsidR="00000000" w:rsidRPr="00000000" w:rsidDel="00000000">
              <w:rPr>
                <w:rtl w:val="0"/>
              </w:rPr>
              <w:t xml:space="preserve">4.4.</w:t>
            </w:r>
            <w:r w:rsidR="00000000" w:rsidRPr="00000000" w:rsidDel="00000000">
              <w:rPr>
                <w:rtl w:val="0"/>
              </w:rPr>
              <w:t xml:space="preserve"> apakšpunktā minētā finansējuma, tad aizdevumu piešķir līdz regulas Nr. 1408/2013 7. panta 4. punktā un 8. pantā, Komisijas regulas 2023/2831 7. panta 3. punktā un 8. pantā vai regulas Nr. 717/2014 7. panta 4. punktā un 8. pantā noteiktā piemērošanas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projekta 27. punktā nedublēt Ministru kabineta 2018. gada 24. jūlija noteikumu Nr. 446 "Noteikumi par lauksaimniecības, lauku un zivsaimniecības saimnieciskās darbības veicēju aizdevumu programmu" (turpmāk - noteikumi) 28. punktā noteikto, svītrojot 27.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un projekta 28. punktā precizēt atsauci uz piemērošanas termiņu, ņemot vērā, ka no konkrētās normas neizriet, kas ar to domāts (attiecīgās regulas vienības paredz vairākas apakšvienības, kurās konkretizēti izdevumu attiecināmības termiņi, uz kuriem būtu nepieciešams izdarīt precīzas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apakšsadaļas skaidrojumus, nodrošinot, ka tiek skaidrojums par katra grozījuma nepieciešamību un mērķi, kā arī nodrošinot, ka sniegtā informācija ir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sniegti vispārīgi skaidrojumi par to, kas tiek grozīts, piemēram, "</w:t>
            </w:r>
            <w:r w:rsidR="00000000" w:rsidRPr="00000000" w:rsidDel="00000000">
              <w:rPr>
                <w:i w:val="1"/>
                <w:rtl w:val="0"/>
              </w:rPr>
              <w:t xml:space="preserve">15.3. apakšpunkts precizēts ar atsaucēm uz 4.5. un 4.6. apakšpunktā minēto finansējumu</w:t>
            </w:r>
            <w:r w:rsidR="00000000" w:rsidRPr="00000000" w:rsidDel="00000000">
              <w:rPr>
                <w:rtl w:val="0"/>
              </w:rPr>
              <w:t xml:space="preserve">;", bet ne tas, kāpēc šāds grozījums nepieciešams. Tāpat, piemēram, atsevišķi skaidrojumi nepilnīgi atspoguļo grozījumu būtību, tostarp 11. punktā ne tikai NACE 2. red. kodi aizstāti ar NACE 2.1. red. kodiem, bet arī veikti papildinājumi, tajā skaitā noteikumu 11.4. apakšpunktā plānots ietvert papildus nosacījumu, kura nepieciešamība un mērķis netiek skaidrots ("47.63 "Sporta aprīkojuma mazumtirdzniecība" – ja ir ieroču tirdzniecība");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lietot precīzus formulējumus, skaidrojot projektā plānotos grozījumus, piemēram, noteikumu 5.</w:t>
            </w:r>
            <w:r w:rsidR="00000000" w:rsidRPr="00000000" w:rsidDel="00000000">
              <w:rPr>
                <w:vertAlign w:val="superscript"/>
                <w:rtl w:val="0"/>
              </w:rPr>
              <w:t xml:space="preserve">1</w:t>
            </w:r>
            <w:r w:rsidR="00000000" w:rsidRPr="00000000" w:rsidDel="00000000">
              <w:rPr>
                <w:rtl w:val="0"/>
              </w:rPr>
              <w:t xml:space="preserve">3. apakšpunkts netiek papildināts ar atsauci uz 4.5. un 4.6. apakšpunktu, bet vispār papildina noteikumus ar jaunu noteikumu vienību, kura tajā skaitā satur atsauci uz 4.5. un 4.6.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projektā grozījumiem pakļautajiem punktiem iepriekš ir ieviestas arī, piemēram, regulas Nr. 717/2014 (noteikumu 22. punkts) un Komisijas 2014. gada 17. jūnija Regulas (ES) Nr. 651/2014, ar ko noteiktas atbalsta kategorijas atzīst par saderīgām ar iekšējo tirgu, piemērojot Līguma 107. un 108. pantu 1.pielikums (noteikumu 5. punkts), prasības u.c., lūdzam pārskatīt projektu un izvērtēt, vai uz to attiecināmās, šī projekta anotācijā nenorādītās (iepriekš ieviestās) regulas joprojām ir attiecināmas. Šādā gadījumā, iesakām ievērot vienotu pieeju attiecībā uz visām iepriekš jau ieviestajām tiesību normām, proti,- atsaukties uz tām visām vai vispārīgi norādīt uz to, ka līdz šim ieviestās, no Eiropas Savienības tiesību normām izrietošās prasības netiek mainītas, ietekmētas vai neieviestas.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un skaidrot projekta izpildes nodrošināšanu un tās ietekmi uz institūcijām, piemēram, akciju sabiedrību "Attīstības finanšu institūcija Altum", kurai, pamatojoties uz projektu, būs jānodrošina aizdevumu piešķiršana papildus intervencēs.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sadarbībā ar akciju sabiedrību "Attīstības finanšu institūcija Altum" divu mēnešu laikā sagatavot un iesniegt izskatīšanai Ministru kabinetā programmas rādītāju un sagaidāmo zaudējumu novērtējumu saskaņā ar Attīstības finanšu institūcijas likuma 12. panta trešās daļas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3. punktu ievērojot, ka no Ministru kabineta 2021. gada 7. septembra noteikumu Nr. 606 "Ministru kabineta kārtības rullis" 76. punkta tostarp izriet, ka ministrijas izstrādātos projektus izskatīšanai Ministru kabineta sēdē ir tiesīgs iesniegt Ministru kabineta loceklis, nevis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25-TA-1585</w:t>
    </w:r>
    <w:r>
      <w:br/>
    </w:r>
    <w:r w:rsidR="00000000" w:rsidRPr="00000000" w:rsidDel="00000000">
      <w:rPr>
        <w:rtl w:val="0"/>
      </w:rPr>
      <w:t xml:space="preserve">Izdrukāts 22.07.2025.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25-TA-1585</w:t>
    </w:r>
    <w:r>
      <w:br/>
    </w:r>
    <w:r w:rsidR="00000000" w:rsidRPr="00000000" w:rsidDel="00000000">
      <w:rPr>
        <w:rtl w:val="0"/>
      </w:rPr>
      <w:t xml:space="preserve">Izdrukāts 22.07.2025.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Atzinumi_25-TA-1585.docx</dc:title>
</cp:coreProperties>
</file>

<file path=docProps/custom.xml><?xml version="1.0" encoding="utf-8"?>
<Properties xmlns="http://schemas.openxmlformats.org/officeDocument/2006/custom-properties" xmlns:vt="http://schemas.openxmlformats.org/officeDocument/2006/docPropsVTypes"/>
</file>