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paredzēts Veselības aprūpes finansēšanas likuma 15.pantu papildināt ar sesto daļu, nosakot, ka regresa kārtībā atgūtos līdzekļus un ieņēmumus no starptautiskajiem līgumiem par personu medicīnisko pakalpojumu izdevumu kompensāciju dienests izmanto veselības aprūpes pakalpojumu apmaksai. Lūdzam iekļaut anotācijā detalizētu skaidrojumu un pamatojumu šādas normas iekļaušanai likumprojektā, kā arī skaidrot - attiecībā uz kādiem regresa kārtībā atgūtiem līdzekļiem un  ieņēmumiem no starptautiskajiem līgumiem par personu medicīnisko pakalpojumu izdevumu kompensāciju attiecas minētā norma, t.i. norādot, kādiem pakalpojumiem, kurās Veselības ministrijas budžeta programmās, apakšprogrammās un kādi ir bijuši līdzšinējā regresa kārtībā atgūtie finansējuma apmēri un ieņēmumu no starptautiskajiem līgumiem par personu medicīnisko pakalpojumu saņemtie finansējumi apmēri iepriekšējos gados un attiecīgi to novērtējums 2025.gadam un turpmākajiem gadiem. Vienlaikus nepieciešams skaidrot līdzšinējo VM rīcību ar minētajiem atgūtajiem līdzekļiem un skaidrot, kādas izmaiņas tiks ieviestas ar šo likumprojekta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14.10.2025.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14.10.2025.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