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pamatojumu FM iesaistei stratēģijas izpildē atbilstoši stratēģijas 4.sadaļā  “Atbildības sadalījums un nepieciešamie resursi” 7.aktivitātei vai arī svītrot informāciju attiecībā uz FM, kas nav saistīta ar stratēģijā plānotajām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un 6.sadaļas tabulās pie 13.aktivitātes lūdzam precizēt sniegto informāciju attiecībā par finansēšanas avotu, norādot vai minētā aktivitāte tiks nodrošināta Valsts kancelejas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6.sadaļas tabulā pievienot detalizētu aprēķinu papildu nepieciešamā finansējuma apmēram 1. un 8. aktivitātes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tabulā attiecībā uz 1.aktivitāti, kas paredz 4 jaunu amata vietu izveidi no 2026.gada un 1 jaunas amata vietas izveidi no 2028.gada,  norādīt vai tās būs nodrošinātas, nepalielinot kopējo amata vietu skaitu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Ziņojumā minēto: "</w:t>
            </w:r>
            <w:r w:rsidR="00000000" w:rsidRPr="00000000" w:rsidDel="00000000">
              <w:rPr>
                <w:i w:val="1"/>
                <w:rtl w:val="0"/>
              </w:rPr>
              <w:t xml:space="preserve">Inovācijas balvas programmas pamatā var būt inovācijas balva “Celmlauzis”, kas tika pasniegta līdz 2022. gadam un </w:t>
            </w:r>
            <w:r w:rsidR="00000000" w:rsidRPr="00000000" w:rsidDel="00000000">
              <w:rPr>
                <w:i w:val="1"/>
                <w:u w:val="single"/>
                <w:rtl w:val="0"/>
              </w:rPr>
              <w:t xml:space="preserve">tiks atjaunota 2024. gadā</w:t>
            </w:r>
            <w:r w:rsidR="00000000" w:rsidRPr="00000000" w:rsidDel="00000000">
              <w:rPr>
                <w:rtl w:val="0"/>
              </w:rPr>
              <w:t xml:space="preserve">." Vēršam uzmanību, ka inovācijas pieredzes stāstu konference un forums-praktikums </w:t>
            </w:r>
            <w:r w:rsidR="00000000" w:rsidRPr="00000000" w:rsidDel="00000000">
              <w:rPr>
                <w:b w:val="1"/>
                <w:rtl w:val="0"/>
              </w:rPr>
              <w:t xml:space="preserve">“Celmlauzis 2024”</w:t>
            </w:r>
            <w:r w:rsidR="00000000" w:rsidRPr="00000000" w:rsidDel="00000000">
              <w:rPr>
                <w:rtl w:val="0"/>
              </w:rPr>
              <w:t xml:space="preserve"> </w:t>
            </w:r>
            <w:r w:rsidR="00000000" w:rsidRPr="00000000" w:rsidDel="00000000">
              <w:rPr>
                <w:b w:val="1"/>
                <w:rtl w:val="0"/>
              </w:rPr>
              <w:t xml:space="preserve">ir atjaunots </w:t>
            </w:r>
            <w:r w:rsidR="00000000" w:rsidRPr="00000000" w:rsidDel="00000000">
              <w:rPr>
                <w:rtl w:val="0"/>
              </w:rPr>
              <w:t xml:space="preserve">un inovāciju balvas “Celmlauzis” tika pasniegtas š.g. 2.oktobrī.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Ziņojumu ar informāciju, kā konkrēti tiks sasniegti Eiropas Savienības Atveseļošanas un noturības mehānisma plāna 6.3. reformu un investīciju virziena “Publiskās pārvaldes modernizācija” 6.3.1.3.i investīcijas “Publiskās pārvaldes inovācijas eko-sistēmas attīstība” atskaites punkta Nr. 204 “Tiesiskā regulējuma stāšanās spēkā attiecībā uz inovācijas ekosistēmu” (turpmāk – atskaites punkts) aprakstā minētie rezultāti, it īpaši ņemot vērā faktu, ka atskaites punkts Nr.204 ir jāsasniedz līdz 2025.g. II cet. Lūdzam Ziņojumā arī skaidrot, </w:t>
            </w:r>
            <w:r w:rsidR="00000000" w:rsidRPr="00000000" w:rsidDel="00000000">
              <w:rPr>
                <w:b w:val="1"/>
                <w:rtl w:val="0"/>
              </w:rPr>
              <w:t xml:space="preserve">kādu dokumentu kopa / dokuments veidos tiesisko regulējumu* un kāds ir šo dokumentu izstrādes statuss</w:t>
            </w:r>
            <w:r w:rsidR="00000000" w:rsidRPr="00000000" w:rsidDel="00000000">
              <w:rPr>
                <w:rtl w:val="0"/>
              </w:rPr>
              <w:t xml:space="preserve">, skaidrojot arī to, kā minēto dokumentu kopa/ dokuments atbalstīs valsts sektora inovācijas ekosistēmas attīstību un risinās pastāvošās problēmas. Vienlaikus vēršam uzmanību, ka atskaites punkts tiek uzskatīts par izpildītu, kad Valsts Kanceleja iesniedz Eiropas Komisijai oficiāli publicēto tiesību aktu vai to grozījumu un citu dokumentu kopijas, kas attiecas uz </w:t>
            </w:r>
            <w:r w:rsidR="00000000" w:rsidRPr="00000000" w:rsidDel="00000000">
              <w:rPr>
                <w:b w:val="1"/>
                <w:rtl w:val="0"/>
              </w:rPr>
              <w:t xml:space="preserve">publiskā sektora inovācijas ekosistēmas normatīvā regulējuma izveidi un inovācijas laboratorijas izveidi, norādot dokumentu spēkā stāšanās datumu un saiti uz oficiālo izdevumu “Latvijas Vēstnesis”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tiesiskais regulējums (pamatnostādnes, noteikumi, ieteikumi u. c.), lai atbalstītu valsts sektora inovācijas ekosistēmas attīstību. Regulējums citstarp risina šādas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inovācijas ekosistēmas un tās pārvaldības sadrumstalotības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uzlabošanu starp iestādēm inovācijas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sistēmas izveidi eksperimentiem. Ir izveidota un darbojas inovācijas laboratorija. Inovācijas laboratorijas galvenās funkcijas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publiskās inovācijas gadījumu izpētes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inovatīvu risinājumu rašana valsts pārvaldes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prototipu risinājumu testēšana;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informēšana par inovāciju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liela daļa šī Ziņojuma pasākumu šobrīd tiek balstīti uz projektu Nr.6.3.1.3.i.0/1/22/I/VK/001 "Publiskās pārvaldes inovācijas eko-sistēmas attīstība", lūdzam </w:t>
            </w:r>
            <w:r w:rsidR="00000000" w:rsidRPr="00000000" w:rsidDel="00000000">
              <w:rPr>
                <w:b w:val="1"/>
                <w:rtl w:val="0"/>
              </w:rPr>
              <w:t xml:space="preserve">papildināt</w:t>
            </w:r>
            <w:r w:rsidR="00000000" w:rsidRPr="00000000" w:rsidDel="00000000">
              <w:rPr>
                <w:rtl w:val="0"/>
              </w:rPr>
              <w:t xml:space="preserve"> Ziņojuma sadaļu "Inovācijas stratēģijas izstrādes pamatojums" (kur minēts, ka stratēģija ir balstīta Valsts pārvaldes modernizācijas plāna 2023.–2027. gadam un Latvijas Nacionālā attīstības plāna 2021.–2027. gadam prioritātēs) arī </w:t>
            </w:r>
            <w:r w:rsidR="00000000" w:rsidRPr="00000000" w:rsidDel="00000000">
              <w:rPr>
                <w:b w:val="1"/>
                <w:rtl w:val="0"/>
              </w:rPr>
              <w:t xml:space="preserve">ar informāciju par Ministru kabineta 2022.gada 10.maija sēdē ar protokolu Nr. 26 43.§ pieņemto "Informatīvais ziņojums "Par Eiropas Savienības Atveseļošanas un noturības mehānisma plāna 6.3. reformu un investīciju virziena "Publiskās pārvaldes modernizācija" 6.3.1.3.i investīcijas "Publiskās pārvaldes inovācijas eko-sistēmas attīstība" īstenošanu" </w:t>
            </w:r>
            <w:r w:rsidR="00000000" w:rsidRPr="00000000" w:rsidDel="00000000">
              <w:rPr>
                <w:rtl w:val="0"/>
              </w:rPr>
              <w:t xml:space="preserve">(22-TA-371)".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norādītajām atbildīgajām institūcijām nodrošināt informatīvajā ziņojumā ietverto pasākumu ieviešanu noteiktajos termiņos atbilstoši atbildības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Ministru kabineta sēdes protokollēmuma projekta 2. un 3. punktā uzskaitīt Ziņojumā norādītās atbildīgās institūcijas, lai ir viennozīmīgi skaidrs, uz kurām insitucijām attiecināmi minētajos punktos noteiktie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01.11.2024.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01.11.2024.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