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Konkursa ietvaros šo noteikumu </w:t>
            </w:r>
            <w:r w:rsidR="00000000" w:rsidRPr="00000000" w:rsidDel="00000000">
              <w:rPr>
                <w:rtl w:val="0"/>
              </w:rPr>
              <w:t xml:space="preserve">17.2.</w:t>
            </w:r>
            <w:r w:rsidR="00000000" w:rsidRPr="00000000" w:rsidDel="00000000">
              <w:rPr>
                <w:rtl w:val="0"/>
              </w:rPr>
              <w:t xml:space="preserve"> un </w:t>
            </w:r>
            <w:r w:rsidR="00000000" w:rsidRPr="00000000" w:rsidDel="00000000">
              <w:rPr>
                <w:rtl w:val="0"/>
              </w:rPr>
              <w:t xml:space="preserve">17.3. </w:t>
            </w:r>
            <w:r w:rsidR="00000000" w:rsidRPr="00000000" w:rsidDel="00000000">
              <w:rPr>
                <w:rtl w:val="0"/>
              </w:rPr>
              <w:t xml:space="preserve">apakšpunktā</w:t>
            </w:r>
            <w:r w:rsidR="00000000" w:rsidRPr="00000000" w:rsidDel="00000000">
              <w:rPr>
                <w:rtl w:val="0"/>
              </w:rPr>
              <w:t xml:space="preserve"> minētajām aktivitātēm ir attiecināmas šādas projekta izmaksas, kas nepārsniedz 40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43.punktu atbilstoši Regulas Nr. 651/2014 36.a panta 7. punktā noteiktajam, ka vienam uzņēmumam piešķirtais atbalsts nepārsniedz 40 % no attiecīgās shēmas kopējā budžeta. Pretējā gadījumā noteikumu projekta 43.punkts ir pretrunā ar noteikumu projekta 41.punktā noteiktajām atbalsta intensitātēm.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55.5. 4. panta 1. punkta "s" un "sa" apakšpunkta nosacījumi, ka individuālais atbalsts nepārsniedz šajos apakšpunktos noteiktās paziņošanas robežvērtības.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šo noteikumu ietvaros atbalstu plānots sniegt ar Komisijas regulas Nr.651/2014 36.a mērķi, lūdzam aizstāt 55.5.apakšpunktā Komisijas regulas Nr.651/2014 4.panta 1.punkta 'sa' nosacījumu atsauci uz Komisijas regulas Nr.651/2014 4.panta 1.punkta 'sb'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iepriekšējā atzinuma 4.punktā izteikto iebildumu, lūgums izvērtēt, vai uz Noteikumu projekta 9.3.apakšpunktā noteikto finansējuma saņēmēju, proti, komersantu, veiktajiem iepirkumiem nav attiecināmi Ministru kabineta noteikumi Nr.104 "Noteikumi par iepirkuma procedūru un tās piemērošanas kārtību pasūtītāja finansētiem projektiem", un attiecīgi papildināt anotāciju, ņemot vērā Noteikumu projekta 91.punktā noteikto, ka </w:t>
            </w:r>
            <w:r w:rsidR="00000000" w:rsidRPr="00000000" w:rsidDel="00000000">
              <w:rPr>
                <w:i w:val="1"/>
                <w:rtl w:val="0"/>
              </w:rPr>
              <w:t xml:space="preserve">finansējuma saņēmējs nepieciešamos iepirkumus projekta ietvaros veic saskaņā ar iepirkumu reglamentējošajiem normatīvajiem aktiem, īstenojot atklātu, pārredzamu, nediskriminējošu un konkurenci nodrošinošu konkursa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Volbergs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Komersantiem atbalstu aktivitāšu īstenošanai sniedz kā atbalstu saskaņā ar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Ja komersantam nav pieejams </w:t>
            </w:r>
            <w:r w:rsidR="00000000" w:rsidRPr="00000000" w:rsidDel="00000000">
              <w:rPr>
                <w:i w:val="1"/>
                <w:rtl w:val="0"/>
              </w:rPr>
              <w:t xml:space="preserve">de minimis</w:t>
            </w:r>
            <w:r w:rsidR="00000000" w:rsidRPr="00000000" w:rsidDel="00000000">
              <w:rPr>
                <w:rtl w:val="0"/>
              </w:rPr>
              <w:t xml:space="preserve"> limits vismaz granta ekvivalenta apmērā, atbalstu sniedz saskaņā ar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Regula Nr. 651/2014) 36.a vai 36.b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01.07.2024. stājās spēkā grozījumi MK noteikumos Nr.715, ar kuriem tiek mainīts MK noteikumu Nr.715 nosaukums, proti, "De minimis atbalsta uzskaites un piešķiršanas kārtība". Līdz ar to lūdzam precizēt noteikumu 4.punkta redakciju, svītrojot tajā vārdus "un de minimis atbalsta uzskaites veidlapu paraugiem", atbilstoši precizējot arī noteikumu 48.3.apakšpunktu.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atbilstoši Regulas Nr. </w:t>
            </w:r>
            <w:r w:rsidR="00000000" w:rsidRPr="00000000" w:rsidDel="00000000">
              <w:rPr>
                <w:rtl w:val="0"/>
              </w:rPr>
              <w:t xml:space="preserve">651/2014</w:t>
            </w:r>
            <w:r w:rsidR="00000000" w:rsidRPr="00000000" w:rsidDel="00000000">
              <w:rPr>
                <w:rtl w:val="0"/>
              </w:rPr>
              <w:t xml:space="preserve"> 6. panta 2. un 3. punktā minētajiem stimulējošas ietekmes nosacījumiem ir radušās pēc projekta līguma noslēgšanas ar Vides investīciju fondu, bet ne vēlāk kā līdz projekta īstenošanas termiņa beigām, ja finansējuma saņēmējs ir lielais komersants. Ja nosacījums nav ievērots un projekta īstenošana, atbilstoši Regulas Nr. </w:t>
            </w:r>
            <w:r w:rsidR="00000000" w:rsidRPr="00000000" w:rsidDel="00000000">
              <w:rPr>
                <w:shd w:fill="#e0ffff" w:val="clear"/>
                <w:rtl w:val="0"/>
              </w:rPr>
              <w:t xml:space="preserve">651/2014</w:t>
            </w:r>
            <w:r w:rsidR="00000000" w:rsidRPr="00000000" w:rsidDel="00000000">
              <w:rPr>
                <w:rtl w:val="0"/>
              </w:rPr>
              <w:t xml:space="preserve"> 2. panta 23. punktā noteiktajai definīcijai par darbu sākumu, ir uzsākta pirms projekta līguma noslēgšanas, tad visas projekta izmaksas tiek uzskatītas par neattiecināmajām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ietvaros netiek piešķirts atbalsts ah-hoc ietvaros, lūdzam šajā punktā dzēst atsauci uz Regulas Nr. 651/2014 6. panta 3. punktu, vēršam uzmanību, ka Regulas Nr. 651/2014 6. panta 3. punktu ir noteikts atsevišķs nosacījums lieliem uzņēmumiem piešķiramam ad hoc atbalstam (ārpus shēmas), kā arī lūdzam pārskatīt noteikumu 58.punkta nepieciešamību. Gadījumā, ja KEM plāno šo nosacījumu saglabāt, lūdzam papildināt anotācijas V sadaļu ar noteikumu 18.5 un 58.punkta izvērtējumu pret Komisijas regulu Nr.651/2014, nosakot, ka tiek paredzētas stingrākas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komersantiem, kas plāno saņemt atbalstu saskaņā ar Regulas Nr. 651/2014 36.b pantu, - 25 % no elektromobiļa attiecināmajām izmaksām saskaņā ar Regulas Nr. 651/2014 36.b panta 6. un 7. punkta nosacījumiem, vienlaikus ievērojot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noteikto maksimāli pieejamo Modernizācijas fonda finansējumu minētās aktivitātes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5.1.tabulu papildināt ar noteikumu projekta 30.2.apakšpunkta izvērtējumu atbilstoši Regulas Nr. 651/2014 36.b panta 6. un 7. punktiem, vienlaikus norādot, ka noteikumi paredz stingrākas prasības, nekā nosaka regula.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w:t>
            </w:r>
            <w:r w:rsidR="00000000" w:rsidRPr="00000000" w:rsidDel="00000000">
              <w:rPr>
                <w:i w:val="1"/>
                <w:rtl w:val="0"/>
              </w:rPr>
              <w:t xml:space="preserve">De minimis</w:t>
            </w:r>
            <w:r w:rsidR="00000000" w:rsidRPr="00000000" w:rsidDel="00000000">
              <w:rPr>
                <w:rtl w:val="0"/>
              </w:rPr>
              <w:t xml:space="preserve"> atbalstu uzskata par piešķirtu ar dienu, kad ir pieņemts lēmums par līdzfinansējuma piešķiršanu vai atzinums par lēmumā noteikto nosacījumu izpildi, ja ir bijis pieņemts lēmums par projekta iesnieguma apstiprināšanu ar nosacījumu.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59.punkts faktiski dublē noteikumu projekta 52.punktā noteikto attiecībā uz de minimis atbalstu, aicinām izvērtēt dzēst noteikumu 52.punktu.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un precizēt anotācijas 1.3.sadaļā minēto teikumu: "Konkursa ietvaros ir iespējams pretendēt uz atbalsta saņemšanu, ja iepirkums par konkursa ietvaros atbalstāmajām aktivitātēm ir noslēdzies, attiecīgi projekta iesniedzējs ir veicis iepirkuma procedūru, kuras rezultātā ar piegādātāju noslēgts līgums par noteikumu projekta 17.1. apakšpunktā ietvertās aktivitātes īstenošanu, taču projekta iesniedzējs nav veicis maksājumus par iepirkuma rezultātā gūtajām precēm pirms šo noteikumu spēkā stāšanās dienas.", ņemot vērā, ka tas pašreizējā redakcijā ir grūti uztverams un varētu radīt pārpratumus, īpaši attiecībā uz tā pēdējā daļā minēto par periodu pirms noteikumu projekta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Volbergs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 pievienot aprēķinus anotācijā (14.lpp "rezultāti" 6. punktā) minētai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veidojas elektroenerģijas ietaupījums, ja tiek palielināts "elektroenerģijas patērējošo iekārtu" skaits (kas aizvieto iekārtas, kuras nepatērē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 pievienot aprēķinu anotācijā (14.lpp "rezultāti" 5. punktā) minētai informācijai par prognozētu emisijas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pieņēmumiem, ka viens transportlīdzeklis vidēji patērē 7 l/km, nobrauc gadā 20 000 km, un emisijas no viena galona degvielas (3,785 l) ir 8 887 grami CO2 ekv., gada laikā jau viena ne elektriska transportlīdzekļa aizvietošana ar elektrisko transportlīdzekli veido emisijas samazinājumu 3,228 t. CO2 ekv.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cik reālistiski ir 14.lpp. minētie rezultāti, vai paskaidrot, kādos gadījumos ir sagaidāms, ka pieprasītais finansējums būs mazāks nekā maksimāli pieejamais / atļautais.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anotācijā 8.lpp un 14.lpp (sadaļā "rezultāti") izmantot "CO2 ekv." (CO2 ekvivalentā), vai SEG (siltumnīcefekta gāzes), "CO2" vietā, jo autotransports veido arī N2O un CH4 emisijas, kas ir siltumnīcefekta gāzes.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punktā 2.2.3. precizēt, ka pastāv pozitīva ietekme uz elektrisko transportlīdzekļu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var veicināt neelektrisko transportlīdzekļu skaita samazināšanu, jo tie var būt aizvietoti ar elektriskiem transportlīdzekļiem. Tas samazinās klientu bāzi ne elektrisko transportlīdzekļu pārdošanā un apkalpošanā, kas ir negatīva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informāciju, skaidri norādot, ka projektu īstenošanai tikai Modernizācijas fonda finansējuma daļa  tiks pieprasīta no valsts budžeta programmas 80.00.00 “Nesadalītais finansējums Eiropas Savienības politiku instrumentu un pārējās ārvalstu finanšu palīdzības līdzfinansēto projektu un pasākumu īstenošanai” un valsts budžeta līdzfinansējuma daļa (tikai attiecībā uz valsts budžeta iestādēm), kā arī pašvaldības projekta īstenošanai nepieciešamais līdzfinansējums tiks nodrošināta iestāžu esošo budžeta finansējuma ietvaros un netiks prasīts papildus no valsts budžeta līdzekļiem, tādējādi neradot negatīvu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norādīto informāciju, ka, lai īstenotu konkursa ietvaros atbalstāmās aktivitātes, valsts tiešās pārvaldes iestādes  un pašvaldības izvērtē esošos pieejamos valsts budžeta līdzekļus un līdzfinansējums, kurš nepieciešams konkursa ietvaros atbalstāmo aktivitāšu īstenošanai  un tas netiks prasīts papildus no valsts budžeta līdzekļiem, lūdzam aizpildīt anotācijas 3. sadaļas 4.punktu “Finanšu līdzekļi papildu izdevumu finansēšanai (kompensējošu izdevumu palielinājumu norāda ar "-" zīmi)” norādot tajā  anotācijas 3. sadaļas 3.punktā norādītos izdevumus, jo, ja valsts tiešās pārvaldes iestādes  un pašvaldības projektā paredzēto līdzfinansējumu nodrošinās to budžetā esošo līdzekļu ietvaros, tad tas neradīs negatīvu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atsauci uz noteikumu "17.1.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02.08.2024.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02.08.2024.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Atzinumi_23-TA-1486.docx</dc:title>
</cp:coreProperties>
</file>

<file path=docProps/custom.xml><?xml version="1.0" encoding="utf-8"?>
<Properties xmlns="http://schemas.openxmlformats.org/officeDocument/2006/custom-properties" xmlns:vt="http://schemas.openxmlformats.org/officeDocument/2006/docPropsVTypes"/>
</file>