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2008. gada 4. augusta noteikumos Nr. 618 "Noteikumi par mantojuma reģistra un mantojuma lietu vešanu"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Mantojuma reģistru veido, izmantojot datorprogrammu, kas nodrošina, lai mantojuma lietas numurs un datums reģistrā parādītos automātiski un nebūtu labojams.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mantojuma reģistra dati būtu mašīnlasāmi un automatizēti nododami un saņemami citās valsts un pašvaldību informāciju sistēmās. Nav pieļaujama valsts un pašvaldību budžeta tērēšana, lai manuāli saņemtu un atkārtoti ievadītu valsts un pašvaldību informācijas sistēmās datus no mantojuma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reģistru veido, izmantojot datorprogrammu, kas nodrošina, lai mantojuma lietas numurs un datums reģistrā parādītos automātiski un nebūtu labojams, </w:t>
            </w:r>
            <w:r w:rsidR="00000000" w:rsidRPr="00000000" w:rsidDel="00000000">
              <w:rPr>
                <w:b w:val="1"/>
                <w:u w:val="single"/>
                <w:rtl w:val="0"/>
              </w:rPr>
              <w:t xml:space="preserve">kā arī nodrošinot visu datu esību mašīnlasāmos formātos, kā arī to automātisku nodošanu valsts un pašvaldību informāciju sistēmām</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Mantojuma reģistru sadala ailēs, un tās satur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faktam, ka mantojuma reģistrs ir valsts informāciju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reģistrs </w:t>
            </w:r>
            <w:r w:rsidR="00000000" w:rsidRPr="00000000" w:rsidDel="00000000">
              <w:rPr>
                <w:b w:val="1"/>
                <w:u w:val="single"/>
                <w:rtl w:val="0"/>
              </w:rPr>
              <w:t xml:space="preserve">ir valsts informācijas sistēma</w:t>
            </w:r>
            <w:r w:rsidR="00000000" w:rsidRPr="00000000" w:rsidDel="00000000">
              <w:rPr>
                <w:rtl w:val="0"/>
              </w:rPr>
              <w:t xml:space="preserve"> </w:t>
            </w:r>
            <w:r w:rsidR="00000000" w:rsidRPr="00000000" w:rsidDel="00000000">
              <w:rPr>
                <w:strike w:val="1"/>
                <w:rtl w:val="0"/>
              </w:rPr>
              <w:t xml:space="preserve">sadala ailēs,</w:t>
            </w:r>
            <w:r w:rsidR="00000000" w:rsidRPr="00000000" w:rsidDel="00000000">
              <w:rPr>
                <w:rtl w:val="0"/>
              </w:rPr>
              <w:t xml:space="preserve"> un tas satur šādas ziņas: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mantojuma atklāšanās izsludināšana, tai skaitā pilns sludinājuma teksts;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atklāšanās izsludināšana, tai skaitā pilns sludinājuma teksts strukturētu datu lauku veidā, kas mašīnlasāmā formātā iesniegts Latvijas vēstnesim;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piezīmes.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mantojuma reģistru ar šādiem datu laukiem, kas nepieciešami nekustamā īpašuma nodokļa administrēšanai, kā arī citos procesos. Uzsveram, ka nav pieņemami valsts informāciju sistēmā  mantojuma reģistrā nenodrošināt mašīnlasāmus datus, kas nepieciešami citos valsts un pašvaldību procesos.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4.9.termiņš mantojuma pieņemšanai, kas noteikts sludinājumā par mantojuma atklāšanos;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4.10. mantojuma atstājējam piederošie nekustamie īpašumi Zemesgrāmatā un Nekustamā īpašuma valsts kadastra informācijas sistēmā, par katru nekustamo īpašumu: kadastra numurs, īpašumā ietilpstošo nekustamā īpašuma objektu kadastra apzīmējumi, kā arī mantojuma atstājēja īpašuma tiesību daļas uz katru no objektiem, minētos datus izgūst minētajām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mantojuma atstājēja nekustamā īpašuma nodokļa parāda apjoms, ja tāds eksistē, minētos datus izgūst no nekustamā īpašuma nodokļa administrēšanas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4.12.katra mantojuma atstājēja mantinieka, kas pieņēmis mantojumu un pierādījis tiesības mantot, vārds, uzvārds, personas kods, ja tāds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ja mantojuma sarakstā ir nekustamie īpašumi Latvijā, katra mantinieka mantotās daļas no  katra nekustamā īpašuma, vai mantotās daļas no katra īpašumā ietilpstošā nekustamā īpašuma objekta, ja īpašuma sastāvā esošie objekti tiek mantoti dažādās daļās, norādot kadastra numurus un kadastra apzīmējumus.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Zvērināts notārs mantojuma lietai pievieno mantojuma reģistra izdruku.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jaunu punktu šādā redakcijā, lai novērstu manuālās darbības un taupītu publiskos resursus, netērējot cilvēkstundas datu saņemšanai un ievadei nekustamā īpašuma nodokļa administrēšanas programmatūrā, kurus elektroniski rada notāri un kuriem jābūt valsts informācijas sistēmā Mantojuma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mantojuma atstājējam ir piederoši nekustamie īpašumi Zemesgrāmatā un Nekustamā īpašuma valsts kadastra informācijas sistēmā, Mantojuma reģistra dati, kas nepieciešami nekustamā īpašuma nodokļa administrēšanai,  automatizēti tiek nodoti pašvaldībai, kuras teritorijā atrodas nekustamais īpašums, t.sk. par datumu līdz kuram jāiesniedz kreditora pretenzija par nekustamā īpašuma nodokļa parādu.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Elektroniski parakstītus paziņojumus mantojuma lietā zvērināts notārs nosūta uz personas oficiālo elektronisko adresi. Ja nav zināma adresāta oficiālā elektroniskā adrese, zvērināts notārs to saņem no oficiālo elektronisko adrešu informācijas sistēmas. Ja personai nav aktivizēts elektroniskās adreses konts, zvērināts notārs nosūta rakstisku paziņojumu uz fiziskās personas deklarēto dzīvesvietu vai citu Fizisko personu reģistrā reģistrēto adresi,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deklarēto dzīvesvietu un citu mantojuma lietā zināmo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Oficiālās elektroniskās adreses likuma regulējumam. Kā arī Fizisko personu reģistra likumā un Dzīvesvietas deklarēšanas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Elektroniski parakstītus paziņojumus mantojuma lietā zvērināts notārs nosūta uz personas oficiālo elektronisko adresi,</w:t>
            </w:r>
            <w:r w:rsidR="00000000" w:rsidRPr="00000000" w:rsidDel="00000000">
              <w:rPr>
                <w:b w:val="1"/>
                <w:u w:val="single"/>
                <w:rtl w:val="0"/>
              </w:rPr>
              <w:t xml:space="preserve"> ja tā ir aktivizēta</w:t>
            </w:r>
            <w:r w:rsidR="00000000" w:rsidRPr="00000000" w:rsidDel="00000000">
              <w:rPr>
                <w:rtl w:val="0"/>
              </w:rPr>
              <w:t xml:space="preserve">. </w:t>
            </w:r>
            <w:r w:rsidR="00000000" w:rsidRPr="00000000" w:rsidDel="00000000">
              <w:rPr>
                <w:strike w:val="1"/>
                <w:rtl w:val="0"/>
              </w:rPr>
              <w:t xml:space="preserve">Ja nav zināma adresāta oficiālā elektroniskā adrese</w:t>
            </w:r>
            <w:r w:rsidR="00000000" w:rsidRPr="00000000" w:rsidDel="00000000">
              <w:rPr>
                <w:rtl w:val="0"/>
              </w:rPr>
              <w:t xml:space="preserve">, Zvērināts notārs </w:t>
            </w:r>
            <w:r w:rsidR="00000000" w:rsidRPr="00000000" w:rsidDel="00000000">
              <w:rPr>
                <w:strike w:val="1"/>
                <w:rtl w:val="0"/>
              </w:rPr>
              <w:t xml:space="preserve">to saņem no</w:t>
            </w:r>
            <w:r w:rsidR="00000000" w:rsidRPr="00000000" w:rsidDel="00000000">
              <w:rPr>
                <w:rtl w:val="0"/>
              </w:rPr>
              <w:t xml:space="preserve"> oficiālo elektronisko adrešu informācijas sistēm</w:t>
            </w:r>
            <w:r w:rsidR="00000000" w:rsidRPr="00000000" w:rsidDel="00000000">
              <w:rPr>
                <w:b w:val="1"/>
                <w:u w:val="single"/>
                <w:rtl w:val="0"/>
              </w:rPr>
              <w:t xml:space="preserve">ā</w:t>
            </w:r>
            <w:r w:rsidR="00000000" w:rsidRPr="00000000" w:rsidDel="00000000">
              <w:rPr>
                <w:strike w:val="1"/>
                <w:rtl w:val="0"/>
              </w:rPr>
              <w:t xml:space="preserve">as</w:t>
            </w:r>
            <w:r w:rsidR="00000000" w:rsidRPr="00000000" w:rsidDel="00000000">
              <w:rPr>
                <w:b w:val="1"/>
                <w:u w:val="single"/>
                <w:rtl w:val="0"/>
              </w:rPr>
              <w:t xml:space="preserve"> pirms jebkura dokumenta nosūtīšanas pārliecinās par oficiālās alektroniskās adreses aktivizāciju</w:t>
            </w:r>
            <w:r w:rsidR="00000000" w:rsidRPr="00000000" w:rsidDel="00000000">
              <w:rPr>
                <w:rtl w:val="0"/>
              </w:rPr>
              <w:t xml:space="preserve">. Ja personai nav aktivizēts elektroniskās adreses konts, zvērināts notārs nosūta rakstisku paziņojumu uz fiziskās personas </w:t>
            </w:r>
            <w:r w:rsidR="00000000" w:rsidRPr="00000000" w:rsidDel="00000000">
              <w:rPr>
                <w:strike w:val="1"/>
                <w:rtl w:val="0"/>
              </w:rPr>
              <w:t xml:space="preserve">deklarēto dzīvesvietu vai citu</w:t>
            </w:r>
            <w:r w:rsidR="00000000" w:rsidRPr="00000000" w:rsidDel="00000000">
              <w:rPr>
                <w:rtl w:val="0"/>
              </w:rPr>
              <w:t xml:space="preserve"> Fizisko personu reģistrā </w:t>
            </w:r>
            <w:r w:rsidR="00000000" w:rsidRPr="00000000" w:rsidDel="00000000">
              <w:rPr>
                <w:b w:val="1"/>
                <w:u w:val="single"/>
                <w:rtl w:val="0"/>
              </w:rPr>
              <w:t xml:space="preserve"> deklarēto, reģistrēto vai personas norādīto dzīvesvietas </w:t>
            </w:r>
            <w:r w:rsidR="00000000" w:rsidRPr="00000000" w:rsidDel="00000000">
              <w:rPr>
                <w:rtl w:val="0"/>
              </w:rPr>
              <w:t xml:space="preserve">adresi, </w:t>
            </w:r>
            <w:r w:rsidR="00000000" w:rsidRPr="00000000" w:rsidDel="00000000">
              <w:rPr>
                <w:b w:val="1"/>
                <w:u w:val="single"/>
                <w:rtl w:val="0"/>
              </w:rPr>
              <w:t xml:space="preserve">kā arī papildadresi</w:t>
            </w:r>
            <w:r w:rsidR="00000000" w:rsidRPr="00000000" w:rsidDel="00000000">
              <w:rPr>
                <w:rtl w:val="0"/>
              </w:rPr>
              <w:t xml:space="preserve">, bet juridiskai personai – uz komercreģistrā reģistrēto adresi. Saskaņā ar Notariāta likuma 259.</w:t>
            </w:r>
            <w:r w:rsidR="00000000" w:rsidRPr="00000000" w:rsidDel="00000000">
              <w:rPr>
                <w:vertAlign w:val="superscript"/>
                <w:rtl w:val="0"/>
              </w:rPr>
              <w:t xml:space="preserve">1</w:t>
            </w:r>
            <w:r w:rsidR="00000000" w:rsidRPr="00000000" w:rsidDel="00000000">
              <w:rPr>
                <w:rtl w:val="0"/>
              </w:rPr>
              <w:t xml:space="preserve"> panta 2. punktu informāciju mantot aicinātajiem par mantojuma atklāšanās izsludināšanu zvērināts notārs paziņo gan uz oficiālo elektronisko adresi, gan arī nosūta vēstuli uz </w:t>
            </w:r>
            <w:r w:rsidR="00000000" w:rsidRPr="00000000" w:rsidDel="00000000">
              <w:rPr>
                <w:b w:val="1"/>
                <w:u w:val="single"/>
                <w:rtl w:val="0"/>
              </w:rPr>
              <w:t xml:space="preserve">Fizisko personu reģistrā  deklarēto, reģistrēto vai personas norādīto dzīvesvietas adresi, kā arī papildadresi</w:t>
            </w:r>
            <w:r w:rsidR="00000000" w:rsidRPr="00000000" w:rsidDel="00000000">
              <w:rPr>
                <w:rtl w:val="0"/>
              </w:rPr>
              <w:t xml:space="preserve">  un citu mantojuma lietā zināmo adresi. Mantot aicinātajiem, kas nav reģistrēti Fizisko personu reģistrā, paziņo uz adresi, kura iesniegta mantojuma lietā.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Mantojuma atstājēja pēdējo deklarēto dzīvesvietu apliecina valsts vai pašvaldības iestādes izziņa vai izdruka no Fizisko personu reģistra. Mantinieka dzīvesvietu mantojuma atklāšanās brīdī apliecina pašvaldības iestādes izziņa vai izdruka no Fizisko personu reģistra,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precizēta atbilstoši Fizisko personu reģitra likumā un Dzīvesvietas deklarēšanas likumā lietotajiem terminiem.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atstājēja pēdējo </w:t>
            </w:r>
            <w:r w:rsidR="00000000" w:rsidRPr="00000000" w:rsidDel="00000000">
              <w:rPr>
                <w:b w:val="1"/>
                <w:u w:val="single"/>
                <w:rtl w:val="0"/>
              </w:rPr>
              <w:t xml:space="preserve">Fizisko personu reģistrā  deklarēto, reģistrēto vai personas norādīto </w:t>
            </w:r>
            <w:r w:rsidR="00000000" w:rsidRPr="00000000" w:rsidDel="00000000">
              <w:rPr>
                <w:rtl w:val="0"/>
              </w:rPr>
              <w:t xml:space="preserve">dzīvesvietu </w:t>
            </w:r>
            <w:r w:rsidR="00000000" w:rsidRPr="00000000" w:rsidDel="00000000">
              <w:rPr>
                <w:b w:val="1"/>
                <w:u w:val="single"/>
                <w:rtl w:val="0"/>
              </w:rPr>
              <w:t xml:space="preserve">vai papildadresi </w:t>
            </w:r>
            <w:r w:rsidR="00000000" w:rsidRPr="00000000" w:rsidDel="00000000">
              <w:rPr>
                <w:rtl w:val="0"/>
              </w:rPr>
              <w:t xml:space="preserve">apliecina valsts vai pašvaldības iestādes izziņa vai izdruka no Fizisko personu reģistra. Mantinieka dzīvesvietu mantojuma atklāšanās brīdī apliecina pašvaldības iestādes izziņa vai izdruka no Fizisko personu reģistra p</w:t>
            </w:r>
            <w:r w:rsidR="00000000" w:rsidRPr="00000000" w:rsidDel="00000000">
              <w:rPr>
                <w:b w:val="1"/>
                <w:u w:val="single"/>
                <w:rtl w:val="0"/>
              </w:rPr>
              <w:t xml:space="preserve">ar Fizisko personu reģistrā  deklarēto, reģistrēto vai personas norādīto dzīvesvietu vai papildadresi </w:t>
            </w:r>
            <w:r w:rsidR="00000000" w:rsidRPr="00000000" w:rsidDel="00000000">
              <w:rPr>
                <w:rtl w:val="0"/>
              </w:rPr>
              <w:t xml:space="preserve">, vai tiesas nolēmums par juridiskā fakta konstatēšanu. Mantojuma atstājēja pēdējo pastāvīgo dzīvesvietu pārrobežu lietā zvērināts notārs nosaka, ievērojot Eiropas Parlamenta un Padomes 2012. gada 4. jūlija regulas (ES) Nr. 650/2012 par jurisdikciju, piemērojamiem tiesību aktiem, nolēmumu atzīšanu un izpildi un publisku aktu akceptēšanu un izpildi mantošanas lietās un par Eiropas mantošanas apliecības izveidi preambulas 23.un 24. apsvērumā noteikto. Zvērināts notārs ir tiesīgs pieprasīt faktus apliecinošus dokumentus, kā arī uzklausīt personu paziņojumus.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Tiklīdz uzsākta mantojuma lieta zvērināts notārs izsludina mantojuma atklāšanos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Vēstnesis ir elektronisks, tāpēc sludinājumam ir iespējams un ir nepieciešams nodrošināt strukturētu datu lauku formātu, kas atļauj samazināt manuālās darbības visiem iesaistītajiem un ieinteresētajiem.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Tiklīdz uzsākta mantojuma lieta zvērināts notārs izsludina mantojuma atklāšanos oficiālajā izdevumā “Latvijas Vēstnesis”, </w:t>
            </w:r>
            <w:r w:rsidR="00000000" w:rsidRPr="00000000" w:rsidDel="00000000">
              <w:rPr>
                <w:u w:val="single"/>
                <w:rtl w:val="0"/>
              </w:rPr>
              <w:t xml:space="preserve">nosūtot sludinājumu strukturētu datu lauku veidā, atbilstoši "Latvijas Vēstneša"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kāds no mantiniekiem vai kreditoriem pieprasa zvērināta tiesu izpildītāja sastādītu mantojuma sarakstu, zvērināts notārs izsniedz attiecīgu aicinājumu, kā arī pēc zvērināta tiesu izpildītāja pieprasījuma ir tiesīgs tam izsniegt ziņas par mantojuma lietā noskaidroto mantu un tās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pieprasīts sastādīt mantojuma sarakstu zvērinātam tiesu izpildītājam, tad mantojuma lietā noskaidroto mantu un tās vērtību ir noteikti jāizsniedz, nevis jāparedz papildus birokrātiskais logs, ka šie dati ir atsevišķi jāpieprasa.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kāds no mantiniekiem vai kreditoriem pieprasa zvērināta tiesu izpildītāja sastādītu mantojuma sarakstu, zvērināts notārs izsniedz attiecīgu aicinājumu, kā arī </w:t>
            </w:r>
            <w:r w:rsidR="00000000" w:rsidRPr="00000000" w:rsidDel="00000000">
              <w:rPr>
                <w:strike w:val="1"/>
                <w:rtl w:val="0"/>
              </w:rPr>
              <w:t xml:space="preserve">pēc zvērināta tiesu izpildītāja pieprasījuma ir tiesīgs tam</w:t>
            </w:r>
            <w:r w:rsidR="00000000" w:rsidRPr="00000000" w:rsidDel="00000000">
              <w:rPr>
                <w:rtl w:val="0"/>
              </w:rPr>
              <w:t xml:space="preserve"> izsnie</w:t>
            </w:r>
            <w:r w:rsidR="00000000" w:rsidRPr="00000000" w:rsidDel="00000000">
              <w:rPr>
                <w:b w:val="1"/>
                <w:u w:val="single"/>
                <w:rtl w:val="0"/>
              </w:rPr>
              <w:t xml:space="preserve">dz</w:t>
            </w:r>
            <w:r w:rsidR="00000000" w:rsidRPr="00000000" w:rsidDel="00000000">
              <w:rPr>
                <w:rtl w:val="0"/>
              </w:rPr>
              <w:t xml:space="preserve"> </w:t>
            </w:r>
            <w:r w:rsidR="00000000" w:rsidRPr="00000000" w:rsidDel="00000000">
              <w:rPr>
                <w:strike w:val="1"/>
                <w:rtl w:val="0"/>
              </w:rPr>
              <w:t xml:space="preserve">gt</w:t>
            </w:r>
            <w:r w:rsidR="00000000" w:rsidRPr="00000000" w:rsidDel="00000000">
              <w:rPr>
                <w:rtl w:val="0"/>
              </w:rPr>
              <w:t xml:space="preserve"> ziņas par mantojuma lietā noskaidroto mantu un tās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r w:rsidR="00000000" w:rsidRPr="00000000" w:rsidDel="00000000">
              <w:rPr>
                <w:vertAlign w:val="superscript"/>
                <w:rtl w:val="0"/>
              </w:rPr>
              <w:t xml:space="preserve">1</w:t>
            </w:r>
            <w:r w:rsidR="00000000" w:rsidRPr="00000000" w:rsidDel="00000000">
              <w:rPr>
                <w:rtl w:val="0"/>
              </w:rPr>
              <w:t xml:space="preserve"> Zvērināts notārs apstiprina mantiniekus mantojuma tiesībās arī gadījumos, ja nav konstatēta mantojuma atstājējam piederoša manta, bet mantinieks lūdzis mantojuma apliecības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Zvērināts notārs apstiprina mantiniekus mantojuma tiesībās </w:t>
            </w:r>
            <w:r w:rsidR="00000000" w:rsidRPr="00000000" w:rsidDel="00000000">
              <w:rPr>
                <w:b w:val="1"/>
                <w:u w:val="single"/>
                <w:rtl w:val="0"/>
              </w:rPr>
              <w:t xml:space="preserve">visos gadījumos, kad mantinieki izteikuši gribu pieņemt mantojumu un  tiesības mantot ir pierādītas, izdarot attiecīgu ierakstu Mantojuma reģistrā,  </w:t>
            </w:r>
            <w:r w:rsidR="00000000" w:rsidRPr="00000000" w:rsidDel="00000000">
              <w:rPr>
                <w:rtl w:val="0"/>
              </w:rPr>
              <w:t xml:space="preserve">arī gadījumos, ja nav konstatēta mantojuma atstājējam piederoša manta, bet mantinieks lūdzis mantojuma apliecības izsniegšanu. </w:t>
            </w:r>
            <w:r w:rsidR="00000000" w:rsidRPr="00000000" w:rsidDel="00000000">
              <w:rPr>
                <w:b w:val="1"/>
                <w:u w:val="single"/>
                <w:rtl w:val="0"/>
              </w:rPr>
              <w:t xml:space="preserve">Mantojuma apliecību var izsniegt tikai pēc mantinieka apstiprināšanas mantojuma tiesībās un attiecīga ieraksta izdarīšanas Mantojuma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 Mantojuma dalīšana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Zemesgrāmatu likuma 1.pantā noteikto: "Nekustamo īpašumu ierakstīšana un lietu tiesību nostiprināšana ir obligāta" , lūdzam noteikumus papildināt ar jaunu nodaļu šādā redakcijā, lai mazinātu birokrātisko slogu mantoto nekustamo īpašumu ierakstīšanā Zemesgrāmatā, jo mantinieki gribu mantot nekustamo īpašumu jau ir izteikuši.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arī jaunu Ministru kabineta protokollēmuma projektu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XVII</w:t>
            </w:r>
            <w:r w:rsidR="00000000" w:rsidRPr="00000000" w:rsidDel="00000000">
              <w:rPr>
                <w:vertAlign w:val="superscript"/>
                <w:rtl w:val="0"/>
              </w:rPr>
              <w:t xml:space="preserve">1</w:t>
            </w:r>
            <w:r w:rsidR="00000000" w:rsidRPr="00000000" w:rsidDel="00000000">
              <w:rPr>
                <w:rtl w:val="0"/>
              </w:rPr>
              <w:t xml:space="preserve"> Nostiprinājuma lūguma par Mantošanas procesā iegūto īpašuma tiesību uz nekustamo īpašumu nosūtīšana uz Zemesgrāmatu                                                                                                                                                                                                                                  __. Ja mantojuma atstājējam ir Zemesgrāmatā nostiprinātas īpašuma tiesības uz nekustamo īpašumu, notārs elektroniski sagatavo un nosūta nostiprinājuma lūgumu Zemesgrāmatai, vienlaikus ar mantojuma apliecības izsniegšanu, par to informējot mantinieku.                                                                                                                                                                                 ___Ja mantinieki, kas apstiprināti mantojuma tiesībās, dala mantoto nekustamo īpašumu tiesā, tiesa pēc nolēmuma stāšanās spēkā elektroniski sagatavo un nosūta atbilstošu nostiprinājuma lūgumu Zemesgrāmatai.                                                                                                                                                                                                    Ministru kabineta protokollēmuma projekta jauns punkts:                                                                                                               Tieslietu ministrijai līdz ___________________ izvērtēt nepieciešamību veikt grozījumus citos normatīvajos aktos, lai nodrošinātu  īpašuma tiesību uz mantoto nekustamo īpašumu, kas ierakstīts Zemesgrāmatā, obligātu nostiprināšanu mantiniekiem ar vismazāko birokrātisko slogu un saprātīgā laikā pēc mantinieka apstiprināšanas mantojuma tiesībās, kā arī mantojumā ietilpstoša un Zemesgrāmatā ierakstīta nekustamā īpašuma sadales starp mantiniekiem.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29.10.2024.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24-TA-2547</w:t>
    </w:r>
    <w:r>
      <w:br/>
    </w:r>
    <w:r w:rsidR="00000000" w:rsidRPr="00000000" w:rsidDel="00000000">
      <w:rPr>
        <w:rtl w:val="0"/>
      </w:rPr>
      <w:t xml:space="preserve">Izdrukāts 29.10.2024.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Atzinumi_24-TA-2547.docx</dc:title>
</cp:coreProperties>
</file>

<file path=docProps/custom.xml><?xml version="1.0" encoding="utf-8"?>
<Properties xmlns="http://schemas.openxmlformats.org/officeDocument/2006/custom-properties" xmlns:vt="http://schemas.openxmlformats.org/officeDocument/2006/docPropsVTypes"/>
</file>